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传统汽车实训室建设方案</w:t>
      </w:r>
    </w:p>
    <w:p>
      <w:pPr>
        <w:pStyle w:val="Subtitle"/>
        <w:jc w:val="center"/>
      </w:pPr>
      <w:r>
        <w:t>课普达（永嘉育达教学设备有限公司）</w:t>
      </w:r>
    </w:p>
    <w:p>
      <w:pPr>
        <w:sectPr>
          <w:pgSz w:w="11906" w:h="16838"/>
          <w:pgMar w:top="1417" w:right="1417" w:bottom="1134" w:left="1417" w:header="720" w:footer="720" w:gutter="0"/>
          <w:cols w:space="720" w:num="1"/>
          <w:vAlign w:val="center"/>
          <w:docGrid w:linePitch="360"/>
        </w:sectPr>
      </w:pPr>
    </w:p>
    <w:p>
      <w:pPr>
        <w:pStyle w:val="TOCHeading"/>
        <w:jc w:val="center"/>
      </w:pPr>
      <w:r>
        <w:t>目录</w:t>
      </w:r>
    </w:p>
    <w:p>
      <w:pPr>
        <w:spacing w:after="40"/>
        <w:ind w:left="0" w:firstLine="0"/>
      </w:pPr>
      <w:r>
        <w:rPr>
          <w:b/>
        </w:rPr>
        <w:t>一、项目背景与建设意义</w:t>
      </w:r>
    </w:p>
    <w:p>
      <w:pPr>
        <w:spacing w:after="40"/>
        <w:ind w:left="0" w:firstLine="0"/>
      </w:pPr>
      <w:r>
        <w:rPr>
          <w:b/>
        </w:rPr>
        <w:t>二、建设目标与设计依据</w:t>
      </w:r>
    </w:p>
    <w:p>
      <w:pPr>
        <w:spacing w:after="40"/>
        <w:ind w:left="360" w:firstLine="0"/>
      </w:pPr>
      <w:r>
        <w:rPr>
          <w:b w:val="0"/>
        </w:rPr>
        <w:t>2.1 建设目标</w:t>
      </w:r>
    </w:p>
    <w:p>
      <w:pPr>
        <w:spacing w:after="40"/>
        <w:ind w:left="360" w:firstLine="0"/>
      </w:pPr>
      <w:r>
        <w:rPr>
          <w:b w:val="0"/>
        </w:rPr>
        <w:t>2.2 设计依据</w:t>
      </w:r>
    </w:p>
    <w:p>
      <w:pPr>
        <w:spacing w:after="40"/>
        <w:ind w:left="0" w:firstLine="0"/>
      </w:pPr>
      <w:r>
        <w:rPr>
          <w:b/>
        </w:rPr>
        <w:t>三、方案总体设计</w:t>
      </w:r>
    </w:p>
    <w:p>
      <w:pPr>
        <w:spacing w:after="40"/>
        <w:ind w:left="360" w:firstLine="0"/>
      </w:pPr>
      <w:r>
        <w:rPr>
          <w:b w:val="0"/>
        </w:rPr>
        <w:t>3.1 建设思路</w:t>
      </w:r>
    </w:p>
    <w:p>
      <w:pPr>
        <w:spacing w:after="40"/>
        <w:ind w:left="360" w:firstLine="0"/>
      </w:pPr>
      <w:r>
        <w:rPr>
          <w:b w:val="0"/>
        </w:rPr>
        <w:t>3.2 实训区域规划</w:t>
      </w:r>
    </w:p>
    <w:p>
      <w:pPr>
        <w:spacing w:after="40"/>
        <w:ind w:left="360" w:firstLine="0"/>
      </w:pPr>
      <w:r>
        <w:rPr>
          <w:b w:val="0"/>
        </w:rPr>
        <w:t>3.3 设备配置总览</w:t>
      </w:r>
    </w:p>
    <w:p>
      <w:pPr>
        <w:spacing w:after="40"/>
        <w:ind w:left="0" w:firstLine="0"/>
      </w:pPr>
      <w:r>
        <w:rPr>
          <w:b/>
        </w:rPr>
        <w:t>四、主要设备功能与技术参数</w:t>
      </w:r>
    </w:p>
    <w:p>
      <w:pPr>
        <w:spacing w:after="40"/>
        <w:ind w:left="360" w:firstLine="0"/>
      </w:pPr>
      <w:r>
        <w:rPr>
          <w:b w:val="0"/>
        </w:rPr>
        <w:t>4.1 发动机拆装运行台（翻转架）</w:t>
      </w:r>
    </w:p>
    <w:p>
      <w:pPr>
        <w:spacing w:after="40"/>
        <w:ind w:left="360" w:firstLine="0"/>
      </w:pPr>
      <w:r>
        <w:rPr>
          <w:b w:val="0"/>
        </w:rPr>
        <w:t>4.2 电控发动机实训台（传感器执行器）</w:t>
      </w:r>
    </w:p>
    <w:p>
      <w:pPr>
        <w:spacing w:after="40"/>
        <w:ind w:left="360" w:firstLine="0"/>
      </w:pPr>
      <w:r>
        <w:rPr>
          <w:b w:val="0"/>
        </w:rPr>
        <w:t>4.3 自动变速器实训台</w:t>
      </w:r>
    </w:p>
    <w:p>
      <w:pPr>
        <w:spacing w:after="40"/>
        <w:ind w:left="360" w:firstLine="0"/>
      </w:pPr>
      <w:r>
        <w:rPr>
          <w:b w:val="0"/>
        </w:rPr>
        <w:t>4.4 底盘系统实训台（转向/制动/悬架）</w:t>
      </w:r>
    </w:p>
    <w:p>
      <w:pPr>
        <w:spacing w:after="40"/>
        <w:ind w:left="360" w:firstLine="0"/>
      </w:pPr>
      <w:r>
        <w:rPr>
          <w:b w:val="0"/>
        </w:rPr>
        <w:t>4.5 全车电器实训台</w:t>
      </w:r>
    </w:p>
    <w:p>
      <w:pPr>
        <w:spacing w:after="40"/>
        <w:ind w:left="360" w:firstLine="0"/>
      </w:pPr>
      <w:r>
        <w:rPr>
          <w:b w:val="0"/>
        </w:rPr>
        <w:t>4.6 汽车空调系统实训台</w:t>
      </w:r>
    </w:p>
    <w:p>
      <w:pPr>
        <w:spacing w:after="40"/>
        <w:ind w:left="360" w:firstLine="0"/>
      </w:pPr>
      <w:r>
        <w:rPr>
          <w:b w:val="0"/>
        </w:rPr>
        <w:t>4.7 汽车解剖模型与实物示教板</w:t>
      </w:r>
    </w:p>
    <w:p>
      <w:pPr>
        <w:spacing w:after="40"/>
        <w:ind w:left="360" w:firstLine="0"/>
      </w:pPr>
      <w:r>
        <w:rPr>
          <w:b w:val="0"/>
        </w:rPr>
        <w:t>4.8 汽车故障诊断设备（解码器）</w:t>
      </w:r>
    </w:p>
    <w:p>
      <w:pPr>
        <w:spacing w:after="40"/>
        <w:ind w:left="360" w:firstLine="0"/>
      </w:pPr>
      <w:r>
        <w:rPr>
          <w:b w:val="0"/>
        </w:rPr>
        <w:t>4.9 检测与维修仪器仪表</w:t>
      </w:r>
    </w:p>
    <w:p>
      <w:pPr>
        <w:spacing w:after="40"/>
        <w:ind w:left="360" w:firstLine="0"/>
      </w:pPr>
      <w:r>
        <w:rPr>
          <w:b w:val="0"/>
        </w:rPr>
        <w:t>4.10 工量具与安全防护</w:t>
      </w:r>
    </w:p>
    <w:p>
      <w:pPr>
        <w:spacing w:after="40"/>
        <w:ind w:left="0" w:firstLine="0"/>
      </w:pPr>
      <w:r>
        <w:rPr>
          <w:b/>
        </w:rPr>
        <w:t>五、可开展实训项目与课程对接</w:t>
      </w:r>
    </w:p>
    <w:p>
      <w:pPr>
        <w:spacing w:after="40"/>
        <w:ind w:left="360" w:firstLine="0"/>
      </w:pPr>
      <w:r>
        <w:rPr>
          <w:b w:val="0"/>
        </w:rPr>
        <w:t>5.1 实训项目总览</w:t>
      </w:r>
    </w:p>
    <w:p>
      <w:pPr>
        <w:spacing w:after="40"/>
        <w:ind w:left="360" w:firstLine="0"/>
      </w:pPr>
      <w:r>
        <w:rPr>
          <w:b w:val="0"/>
        </w:rPr>
        <w:t>5.2 课程体系对接</w:t>
      </w:r>
    </w:p>
    <w:p>
      <w:pPr>
        <w:spacing w:after="40"/>
        <w:ind w:left="360" w:firstLine="0"/>
      </w:pPr>
      <w:r>
        <w:rPr>
          <w:b w:val="0"/>
        </w:rPr>
        <w:t>5.3 赛证融通</w:t>
      </w:r>
    </w:p>
    <w:p>
      <w:pPr>
        <w:spacing w:after="40"/>
        <w:ind w:left="0" w:firstLine="0"/>
      </w:pPr>
      <w:r>
        <w:rPr>
          <w:b/>
        </w:rPr>
        <w:t>六、场地、环境与安全要求</w:t>
      </w:r>
    </w:p>
    <w:p>
      <w:pPr>
        <w:spacing w:after="40"/>
        <w:ind w:left="360" w:firstLine="0"/>
      </w:pPr>
      <w:r>
        <w:rPr>
          <w:b w:val="0"/>
        </w:rPr>
        <w:t>6.1 场地与布局</w:t>
      </w:r>
    </w:p>
    <w:p>
      <w:pPr>
        <w:spacing w:after="40"/>
        <w:ind w:left="360" w:firstLine="0"/>
      </w:pPr>
      <w:r>
        <w:rPr>
          <w:b w:val="0"/>
        </w:rPr>
        <w:t>6.2 供电与环境要求</w:t>
      </w:r>
    </w:p>
    <w:p>
      <w:pPr>
        <w:spacing w:after="40"/>
        <w:ind w:left="360" w:firstLine="0"/>
      </w:pPr>
      <w:r>
        <w:rPr>
          <w:b w:val="0"/>
        </w:rPr>
        <w:t>6.3 安全防护体系</w:t>
      </w:r>
    </w:p>
    <w:p>
      <w:pPr>
        <w:spacing w:after="40"/>
        <w:ind w:left="0" w:firstLine="0"/>
      </w:pPr>
      <w:r>
        <w:rPr>
          <w:b/>
        </w:rPr>
        <w:t>七、项目实施计划</w:t>
      </w:r>
    </w:p>
    <w:p>
      <w:pPr>
        <w:spacing w:after="40"/>
        <w:ind w:left="360" w:firstLine="0"/>
      </w:pPr>
      <w:r>
        <w:rPr>
          <w:b w:val="0"/>
        </w:rPr>
        <w:t>7.1 供货与交付</w:t>
      </w:r>
    </w:p>
    <w:p>
      <w:pPr>
        <w:spacing w:after="40"/>
        <w:ind w:left="360" w:firstLine="0"/>
      </w:pPr>
      <w:r>
        <w:rPr>
          <w:b w:val="0"/>
        </w:rPr>
        <w:t>7.2 安装调试与验收</w:t>
      </w:r>
    </w:p>
    <w:p>
      <w:pPr>
        <w:spacing w:after="40"/>
        <w:ind w:left="360" w:firstLine="0"/>
      </w:pPr>
      <w:r>
        <w:rPr>
          <w:b w:val="0"/>
        </w:rPr>
        <w:t>7.3 师资培训与教学支持</w:t>
      </w:r>
    </w:p>
    <w:p>
      <w:pPr>
        <w:spacing w:after="40"/>
        <w:ind w:left="0" w:firstLine="0"/>
      </w:pPr>
      <w:r>
        <w:rPr>
          <w:b/>
        </w:rPr>
        <w:t>八、售后服务与质量保证</w:t>
      </w:r>
    </w:p>
    <w:p>
      <w:pPr>
        <w:spacing w:after="40"/>
        <w:ind w:left="0" w:firstLine="0"/>
      </w:pPr>
      <w:r>
        <w:rPr>
          <w:b/>
        </w:rPr>
        <w:t>九、价格与商务说明</w:t>
      </w:r>
    </w:p>
    <w:p>
      <w:pPr>
        <w:sectPr>
          <w:pgSz w:w="11906" w:h="16838"/>
          <w:pgMar w:top="1417" w:right="1417" w:bottom="1134" w:left="1417" w:header="720" w:footer="720" w:gutter="0"/>
          <w:cols w:space="720" w:num="1"/>
          <w:vAlign w:val="top"/>
          <w:docGrid w:linePitch="360"/>
        </w:sectPr>
      </w:pPr>
    </w:p>
    <w:p>
      <w:pPr>
        <w:pStyle w:val="Heading1"/>
        <w:pageBreakBefore w:val="0"/>
      </w:pPr>
      <w:r>
        <w:t>一、项目背景与建设意义</w:t>
      </w:r>
    </w:p>
    <w:p>
      <w:pPr>
        <w:pStyle w:val="BodyText"/>
      </w:pPr>
      <w:r>
        <w:t>传统燃油汽车在我国汽车保有量中仍占主体地位，发动机、变速器、底盘、电器、空调等系统的检测与维修是汽车后市场服务的主力业务。随着汽车电控技术不断升级，电控燃油喷射、自动变速、ABS 防抱死、车身电气与网络总线等系统日益复杂，行业对掌握燃油车机电维修、检测诊断与故障排除技能的技能人才需求持续旺盛。职业院校汽车运用与维修及相关专业是技术技能人才培养的主阵地，实训条件是专业建设与人才培养质量的基础保障。</w:t>
      </w:r>
    </w:p>
    <w:p>
      <w:pPr>
        <w:pStyle w:val="BodyText"/>
      </w:pPr>
      <w:r>
        <w:t>本方案以燃油车整车及主要总成为教学载体，按"结构认知—实物示教—拆装工艺—检测诊断—故障排除—考核评价"的教学链条配置设备，覆盖发动机、变速器、底盘、电器、空调等核心系统，可满足中高等职业院校、技工院校汽车运用与维修、汽车制造与检测、汽车机电维修等相关专业的日常教学、课程实训、技能大赛训练和职业技能等级考核等多重需求，实现"岗课赛证"融通，助力专业建设与人才培养质量提升。</w:t>
      </w:r>
    </w:p>
    <w:p>
      <w:pPr>
        <w:pStyle w:val="Heading1"/>
      </w:pPr>
      <w:r>
        <w:t>二、建设目标与设计依据</w:t>
      </w:r>
    </w:p>
    <w:p>
      <w:pPr>
        <w:pStyle w:val="Heading2"/>
      </w:pPr>
      <w:r>
        <w:t>2.1 建设目标</w:t>
      </w:r>
    </w:p>
    <w:p>
      <w:pPr>
        <w:pStyle w:val="BodyText"/>
      </w:pPr>
      <w:r>
        <w:t>本实训室建设旨在达成以下目标：</w:t>
      </w:r>
    </w:p>
    <w:p>
      <w:pPr>
        <w:pStyle w:val="ListBullet"/>
      </w:pPr>
      <w:r>
        <w:t>实现发动机、变速器、底盘、电器、空调等燃油车核心系统的结构原理认知教学；</w:t>
      </w:r>
    </w:p>
    <w:p>
      <w:pPr>
        <w:pStyle w:val="ListBullet"/>
      </w:pPr>
      <w:r>
        <w:t>支撑学生完成发动机与变速器拆装、底盘系统检修、电器系统检测、空调系统维修等实操训练；</w:t>
      </w:r>
    </w:p>
    <w:p>
      <w:pPr>
        <w:pStyle w:val="ListBullet"/>
      </w:pPr>
      <w:r>
        <w:t>对接汽车维修工国家职业技能标准与"1+X"汽车运用与维修职业技能等级证书考核要求，支持技能鉴定与考证训练；</w:t>
      </w:r>
    </w:p>
    <w:p>
      <w:pPr>
        <w:pStyle w:val="ListBullet"/>
      </w:pPr>
      <w:r>
        <w:t>对接全国职业院校技能大赛汽车技术赛项相关技能点，支持赛项训练与选拔；</w:t>
      </w:r>
    </w:p>
    <w:p>
      <w:pPr>
        <w:pStyle w:val="ListBullet"/>
      </w:pPr>
      <w:r>
        <w:t>提供多媒体教学、故障设置与在线考核系统，支持过程性评价与教学数据管理，提升教学效率；</w:t>
      </w:r>
    </w:p>
    <w:p>
      <w:pPr>
        <w:pStyle w:val="ListBullet"/>
      </w:pPr>
      <w:r>
        <w:t>落实规范作业与安全防护训练，培养学生安全意识和职业素养。</w:t>
      </w:r>
    </w:p>
    <w:p>
      <w:pPr>
        <w:pStyle w:val="Heading2"/>
      </w:pPr>
      <w:r>
        <w:t>2.2 设计依据</w:t>
      </w:r>
    </w:p>
    <w:p>
      <w:pPr>
        <w:pStyle w:val="ListBullet"/>
      </w:pPr>
      <w:r>
        <w:t>《国家职业教育改革实施方案》（国发〔2019〕4号）及"学历证书+若干职业技能等级证书"制度试点方案；</w:t>
      </w:r>
    </w:p>
    <w:p>
      <w:pPr>
        <w:pStyle w:val="ListBullet"/>
      </w:pPr>
      <w:r>
        <w:t>汽车维修工国家职业技能标准及职业院校汽车类专业教学标准；</w:t>
      </w:r>
    </w:p>
    <w:p>
      <w:pPr>
        <w:pStyle w:val="ListBullet"/>
      </w:pPr>
      <w:r>
        <w:t>"1+X"汽车运用与维修职业技能等级证书标准及考核要求；</w:t>
      </w:r>
    </w:p>
    <w:p>
      <w:pPr>
        <w:pStyle w:val="ListBullet"/>
      </w:pPr>
      <w:r>
        <w:t>全国职业院校技能大赛汽车技术赛项规程及技术规范；</w:t>
      </w:r>
    </w:p>
    <w:p>
      <w:pPr>
        <w:pStyle w:val="ListBullet"/>
      </w:pPr>
      <w:r>
        <w:t>汽车维修相关国家标准与行业标准（含机动车维修、排放检验等相关要求）；</w:t>
      </w:r>
    </w:p>
    <w:p>
      <w:pPr>
        <w:pStyle w:val="ListBullet"/>
      </w:pPr>
      <w:r>
        <w:t>全国机械职业教育教学指导委员会相关专业教学标准与实训基地建设要求。</w:t>
      </w:r>
    </w:p>
    <w:p>
      <w:pPr>
        <w:pStyle w:val="Heading1"/>
      </w:pPr>
      <w:r>
        <w:t>三、方案总体设计</w:t>
      </w:r>
    </w:p>
    <w:p>
      <w:pPr>
        <w:pStyle w:val="Heading2"/>
      </w:pPr>
      <w:r>
        <w:t>3.1 建设思路</w:t>
      </w:r>
    </w:p>
    <w:p>
      <w:pPr>
        <w:pStyle w:val="BodyText"/>
      </w:pPr>
      <w:r>
        <w:t>本方案采用"以整车与总成为载体、以实训为主线、以考核为导向"的建设思路，按认知层、示教层、拆装层、检测诊断层、故障排除层和考核层六层能力阶梯配置设备，保证每台设备均有明确的教学定位和实训任务支撑，避免设备与教学脱节。</w:t>
      </w:r>
    </w:p>
    <w:p>
      <w:pPr>
        <w:pStyle w:val="Heading2"/>
      </w:pPr>
      <w:r>
        <w:t>3.2 实训区域规划</w:t>
      </w:r>
    </w:p>
    <w:p>
      <w:pPr>
        <w:pStyle w:val="ListBullet"/>
      </w:pPr>
      <w:r>
        <w:t>发动机拆装与运行实训区：发动机拆装翻转架（拆装运行台）、发动机吊架、拆装专用工作台；</w:t>
      </w:r>
    </w:p>
    <w:p>
      <w:pPr>
        <w:pStyle w:val="ListBullet"/>
      </w:pPr>
      <w:r>
        <w:t>发动机电控系统实训区：电控发动机实训台、传感器执行器实训台、汽油机电控示教板；</w:t>
      </w:r>
    </w:p>
    <w:p>
      <w:pPr>
        <w:pStyle w:val="ListBullet"/>
      </w:pPr>
      <w:r>
        <w:t>变速器实训区：手动变速器拆装台、自动变速器实训台、自动变速器解剖模型；</w:t>
      </w:r>
    </w:p>
    <w:p>
      <w:pPr>
        <w:pStyle w:val="ListBullet"/>
      </w:pPr>
      <w:r>
        <w:t>底盘系统实训区：转向系统实训台、制动（ABS）系统实训台、悬架系统实训台；</w:t>
      </w:r>
    </w:p>
    <w:p>
      <w:pPr>
        <w:pStyle w:val="ListBullet"/>
      </w:pPr>
      <w:r>
        <w:t>汽车电器系统实训区：全车电器实训台、车身电器示教板；</w:t>
      </w:r>
    </w:p>
    <w:p>
      <w:pPr>
        <w:pStyle w:val="ListBullet"/>
      </w:pPr>
      <w:r>
        <w:t>空调系统实训区：汽车空调系统实训台、制冷剂回收加注与检漏设备；</w:t>
      </w:r>
    </w:p>
    <w:p>
      <w:pPr>
        <w:pStyle w:val="ListBullet"/>
      </w:pPr>
      <w:r>
        <w:t>整车构造与解剖认知区：汽车解剖模型、实物示教板、教学挂图与多媒体教学软件；</w:t>
      </w:r>
    </w:p>
    <w:p>
      <w:pPr>
        <w:pStyle w:val="ListBullet"/>
      </w:pPr>
      <w:r>
        <w:t>检测诊断与考核区：解码器、示波器、万用表、尾气分析仪及智能故障设置考核系统；</w:t>
      </w:r>
    </w:p>
    <w:p>
      <w:pPr>
        <w:pStyle w:val="ListBullet"/>
      </w:pPr>
      <w:r>
        <w:t>工量具与安全防护区：拆装工量具、检测仪表、防护套装；</w:t>
      </w:r>
    </w:p>
    <w:p>
      <w:pPr>
        <w:pStyle w:val="ListBullet"/>
      </w:pPr>
      <w:r>
        <w:t>整车举升与四轮定位工位：双柱龙门举升机、四轮定位仪及大剪举升器、轮胎拆装与动平衡设备。</w:t>
      </w:r>
    </w:p>
    <w:p>
      <w:pPr>
        <w:pStyle w:val="Heading2"/>
      </w:pPr>
      <w:r>
        <w:t>3.3 设备配置总览</w:t>
      </w:r>
    </w:p>
    <w:tbl>
      <w:tblPr>
        <w:tblStyle w:val="TableGrid"/>
        <w:tblW w:type="auto" w:w="0"/>
        <w:jc w:val="center"/>
        <w:tblLook w:firstColumn="1" w:firstRow="1" w:lastColumn="0" w:lastRow="0" w:noHBand="0" w:noVBand="1" w:val="04A0"/>
      </w:tblPr>
      <w:tblGrid>
        <w:gridCol w:w="1512"/>
        <w:gridCol w:w="1512"/>
        <w:gridCol w:w="1512"/>
        <w:gridCol w:w="1512"/>
        <w:gridCol w:w="1512"/>
        <w:gridCol w:w="1512"/>
      </w:tblGrid>
      <w:tr>
        <w:trPr>
          <w:tblHeader w:val="true"/>
        </w:trPr>
        <w:tc>
          <w:tcPr>
            <w:tcW w:type="dxa" w:w="1512"/>
            <w:shd w:val="clear" w:color="auto" w:fill="D9E2F3"/>
            <w:vAlign w:val="center"/>
          </w:tcPr>
          <w:p>
            <w:pPr>
              <w:spacing w:before="0" w:after="0" w:line="240" w:lineRule="auto"/>
              <w:ind w:firstLine="0" w:left="0" w:right="0"/>
              <w:jc w:val="center"/>
            </w:pPr>
            <w:r>
              <w:rPr>
                <w:b/>
                <w:color w:val="1F4E79"/>
              </w:rPr>
            </w:r>
            <w:r>
              <w:rPr>
                <w:b/>
                <w:color w:val="1F4E79"/>
              </w:rPr>
              <w:t>序号</w:t>
            </w:r>
          </w:p>
        </w:tc>
        <w:tc>
          <w:tcPr>
            <w:tcW w:type="dxa" w:w="1512"/>
            <w:shd w:val="clear" w:color="auto" w:fill="D9E2F3"/>
            <w:vAlign w:val="center"/>
          </w:tcPr>
          <w:p>
            <w:pPr>
              <w:spacing w:before="0" w:after="0" w:line="240" w:lineRule="auto"/>
              <w:ind w:firstLine="0" w:left="0" w:right="0"/>
              <w:jc w:val="center"/>
            </w:pPr>
            <w:r>
              <w:rPr>
                <w:b/>
                <w:color w:val="1F4E79"/>
              </w:rPr>
            </w:r>
            <w:r>
              <w:rPr>
                <w:b/>
                <w:color w:val="1F4E79"/>
              </w:rPr>
              <w:t>设备名称</w:t>
            </w:r>
          </w:p>
        </w:tc>
        <w:tc>
          <w:tcPr>
            <w:tcW w:type="dxa" w:w="1512"/>
            <w:shd w:val="clear" w:color="auto" w:fill="D9E2F3"/>
            <w:vAlign w:val="center"/>
          </w:tcPr>
          <w:p>
            <w:pPr>
              <w:spacing w:before="0" w:after="0" w:line="240" w:lineRule="auto"/>
              <w:ind w:firstLine="0" w:left="0" w:right="0"/>
              <w:jc w:val="center"/>
            </w:pPr>
            <w:r>
              <w:rPr>
                <w:b/>
                <w:color w:val="1F4E79"/>
              </w:rPr>
            </w:r>
            <w:r>
              <w:rPr>
                <w:b/>
                <w:color w:val="1F4E79"/>
              </w:rPr>
              <w:t>参考型号</w:t>
            </w:r>
          </w:p>
        </w:tc>
        <w:tc>
          <w:tcPr>
            <w:tcW w:type="dxa" w:w="1512"/>
            <w:shd w:val="clear" w:color="auto" w:fill="D9E2F3"/>
            <w:vAlign w:val="center"/>
          </w:tcPr>
          <w:p>
            <w:pPr>
              <w:spacing w:before="0" w:after="0" w:line="240" w:lineRule="auto"/>
              <w:ind w:firstLine="0" w:left="0" w:right="0"/>
              <w:jc w:val="center"/>
            </w:pPr>
            <w:r>
              <w:rPr>
                <w:b/>
                <w:color w:val="1F4E79"/>
              </w:rPr>
            </w:r>
            <w:r>
              <w:rPr>
                <w:b/>
                <w:color w:val="1F4E79"/>
              </w:rPr>
              <w:t>单位</w:t>
            </w:r>
          </w:p>
        </w:tc>
        <w:tc>
          <w:tcPr>
            <w:tcW w:type="dxa" w:w="1512"/>
            <w:shd w:val="clear" w:color="auto" w:fill="D9E2F3"/>
            <w:vAlign w:val="center"/>
          </w:tcPr>
          <w:p>
            <w:pPr>
              <w:spacing w:before="0" w:after="0" w:line="240" w:lineRule="auto"/>
              <w:ind w:firstLine="0" w:left="0" w:right="0"/>
              <w:jc w:val="center"/>
            </w:pPr>
            <w:r>
              <w:rPr>
                <w:b/>
                <w:color w:val="1F4E79"/>
              </w:rPr>
            </w:r>
            <w:r>
              <w:rPr>
                <w:b/>
                <w:color w:val="1F4E79"/>
              </w:rPr>
              <w:t>数量</w:t>
            </w:r>
          </w:p>
        </w:tc>
        <w:tc>
          <w:tcPr>
            <w:tcW w:type="dxa" w:w="1512"/>
            <w:shd w:val="clear" w:color="auto" w:fill="D9E2F3"/>
            <w:vAlign w:val="center"/>
          </w:tcPr>
          <w:p>
            <w:pPr>
              <w:spacing w:before="0" w:after="0" w:line="240" w:lineRule="auto"/>
              <w:ind w:firstLine="0" w:left="0" w:right="0"/>
              <w:jc w:val="center"/>
            </w:pPr>
            <w:r>
              <w:rPr>
                <w:b/>
                <w:color w:val="1F4E79"/>
              </w:rPr>
            </w:r>
            <w:r>
              <w:rPr>
                <w:b/>
                <w:color w:val="1F4E79"/>
              </w:rPr>
              <w:t>主要用途</w:t>
            </w:r>
          </w:p>
        </w:tc>
      </w:tr>
      <w:tr>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发动机拆装运行台（翻转架）</w:t>
            </w:r>
          </w:p>
        </w:tc>
        <w:tc>
          <w:tcPr>
            <w:tcW w:type="dxa" w:w="1512"/>
            <w:vAlign w:val="center"/>
          </w:tcPr>
          <w:p>
            <w:pPr>
              <w:spacing w:before="0" w:after="0" w:line="240" w:lineRule="auto"/>
              <w:ind w:firstLine="0" w:left="0" w:right="0"/>
              <w:jc w:val="center"/>
            </w:pPr>
            <w:r/>
            <w:r>
              <w:t>伊兰特等主流机型</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2</w:t>
            </w:r>
          </w:p>
        </w:tc>
        <w:tc>
          <w:tcPr>
            <w:tcW w:type="dxa" w:w="1512"/>
            <w:vAlign w:val="center"/>
          </w:tcPr>
          <w:p>
            <w:pPr>
              <w:spacing w:before="0" w:after="0" w:line="240" w:lineRule="auto"/>
              <w:ind w:firstLine="0" w:left="0" w:right="0"/>
              <w:jc w:val="center"/>
            </w:pPr>
            <w:r/>
            <w:r>
              <w:t>发动机拆装、运行演示与检测考核</w:t>
            </w:r>
          </w:p>
        </w:tc>
      </w:tr>
      <w:tr>
        <w:tc>
          <w:tcPr>
            <w:tcW w:type="dxa" w:w="1512"/>
            <w:vAlign w:val="center"/>
          </w:tcPr>
          <w:p>
            <w:pPr>
              <w:spacing w:before="0" w:after="0" w:line="240" w:lineRule="auto"/>
              <w:ind w:firstLine="0" w:left="0" w:right="0"/>
              <w:jc w:val="center"/>
            </w:pPr>
            <w:r/>
            <w:r>
              <w:t>2</w:t>
            </w:r>
          </w:p>
        </w:tc>
        <w:tc>
          <w:tcPr>
            <w:tcW w:type="dxa" w:w="1512"/>
            <w:vAlign w:val="center"/>
          </w:tcPr>
          <w:p>
            <w:pPr>
              <w:spacing w:before="0" w:after="0" w:line="240" w:lineRule="auto"/>
              <w:ind w:firstLine="0" w:left="0" w:right="0"/>
              <w:jc w:val="center"/>
            </w:pPr>
            <w:r/>
            <w:r>
              <w:t>发动机吊架</w:t>
            </w:r>
          </w:p>
        </w:tc>
        <w:tc>
          <w:tcPr>
            <w:tcW w:type="dxa" w:w="1512"/>
            <w:vAlign w:val="center"/>
          </w:tcPr>
          <w:p>
            <w:pPr>
              <w:spacing w:before="0" w:after="0" w:line="240" w:lineRule="auto"/>
              <w:ind w:firstLine="0" w:left="0" w:right="0"/>
              <w:jc w:val="center"/>
            </w:pPr>
            <w:r/>
            <w:r>
              <w:t>液压手动 0.5-2t</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发动机总成吊装与搬运</w:t>
            </w:r>
          </w:p>
        </w:tc>
      </w:tr>
      <w:tr>
        <w:tc>
          <w:tcPr>
            <w:tcW w:type="dxa" w:w="1512"/>
            <w:vAlign w:val="center"/>
          </w:tcPr>
          <w:p>
            <w:pPr>
              <w:spacing w:before="0" w:after="0" w:line="240" w:lineRule="auto"/>
              <w:ind w:firstLine="0" w:left="0" w:right="0"/>
              <w:jc w:val="center"/>
            </w:pPr>
            <w:r/>
            <w:r>
              <w:t>3</w:t>
            </w:r>
          </w:p>
        </w:tc>
        <w:tc>
          <w:tcPr>
            <w:tcW w:type="dxa" w:w="1512"/>
            <w:vAlign w:val="center"/>
          </w:tcPr>
          <w:p>
            <w:pPr>
              <w:spacing w:before="0" w:after="0" w:line="240" w:lineRule="auto"/>
              <w:ind w:firstLine="0" w:left="0" w:right="0"/>
              <w:jc w:val="center"/>
            </w:pPr>
            <w:r/>
            <w:r>
              <w:t>拆装专用工作台</w:t>
            </w:r>
          </w:p>
        </w:tc>
        <w:tc>
          <w:tcPr>
            <w:tcW w:type="dxa" w:w="1512"/>
            <w:vAlign w:val="center"/>
          </w:tcPr>
          <w:p>
            <w:pPr>
              <w:spacing w:before="0" w:after="0" w:line="240" w:lineRule="auto"/>
              <w:ind w:firstLine="0" w:left="0" w:right="0"/>
              <w:jc w:val="center"/>
            </w:pPr>
            <w:r/>
            <w:r>
              <w:t>1200×1000×800mm</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拆装零件与工具摆放</w:t>
            </w:r>
          </w:p>
        </w:tc>
      </w:tr>
      <w:tr>
        <w:tc>
          <w:tcPr>
            <w:tcW w:type="dxa" w:w="1512"/>
            <w:vAlign w:val="center"/>
          </w:tcPr>
          <w:p>
            <w:pPr>
              <w:spacing w:before="0" w:after="0" w:line="240" w:lineRule="auto"/>
              <w:ind w:firstLine="0" w:left="0" w:right="0"/>
              <w:jc w:val="center"/>
            </w:pPr>
            <w:r/>
            <w:r>
              <w:t>4</w:t>
            </w:r>
          </w:p>
        </w:tc>
        <w:tc>
          <w:tcPr>
            <w:tcW w:type="dxa" w:w="1512"/>
            <w:vAlign w:val="center"/>
          </w:tcPr>
          <w:p>
            <w:pPr>
              <w:spacing w:before="0" w:after="0" w:line="240" w:lineRule="auto"/>
              <w:ind w:firstLine="0" w:left="0" w:right="0"/>
              <w:jc w:val="center"/>
            </w:pPr>
            <w:r/>
            <w:r>
              <w:t>电控发动机实训台</w:t>
            </w:r>
          </w:p>
        </w:tc>
        <w:tc>
          <w:tcPr>
            <w:tcW w:type="dxa" w:w="1512"/>
            <w:vAlign w:val="center"/>
          </w:tcPr>
          <w:p>
            <w:pPr>
              <w:spacing w:before="0" w:after="0" w:line="240" w:lineRule="auto"/>
              <w:ind w:firstLine="0" w:left="0" w:right="0"/>
              <w:jc w:val="center"/>
            </w:pPr>
            <w:r/>
            <w:r>
              <w:t>大众电控 18 种模块</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电控系统原理、信号检测与故障诊断</w:t>
            </w:r>
          </w:p>
        </w:tc>
      </w:tr>
      <w:tr>
        <w:tc>
          <w:tcPr>
            <w:tcW w:type="dxa" w:w="1512"/>
            <w:vAlign w:val="center"/>
          </w:tcPr>
          <w:p>
            <w:pPr>
              <w:spacing w:before="0" w:after="0" w:line="240" w:lineRule="auto"/>
              <w:ind w:firstLine="0" w:left="0" w:right="0"/>
              <w:jc w:val="center"/>
            </w:pPr>
            <w:r/>
            <w:r>
              <w:t>5</w:t>
            </w:r>
          </w:p>
        </w:tc>
        <w:tc>
          <w:tcPr>
            <w:tcW w:type="dxa" w:w="1512"/>
            <w:vAlign w:val="center"/>
          </w:tcPr>
          <w:p>
            <w:pPr>
              <w:spacing w:before="0" w:after="0" w:line="240" w:lineRule="auto"/>
              <w:ind w:firstLine="0" w:left="0" w:right="0"/>
              <w:jc w:val="center"/>
            </w:pPr>
            <w:r/>
            <w:r>
              <w:t>汽车发动机传感器执行器实训台</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传感器与执行器结构原理与检测</w:t>
            </w:r>
          </w:p>
        </w:tc>
      </w:tr>
      <w:tr>
        <w:tc>
          <w:tcPr>
            <w:tcW w:type="dxa" w:w="1512"/>
            <w:vAlign w:val="center"/>
          </w:tcPr>
          <w:p>
            <w:pPr>
              <w:spacing w:before="0" w:after="0" w:line="240" w:lineRule="auto"/>
              <w:ind w:firstLine="0" w:left="0" w:right="0"/>
              <w:jc w:val="center"/>
            </w:pPr>
            <w:r/>
            <w:r>
              <w:t>6</w:t>
            </w:r>
          </w:p>
        </w:tc>
        <w:tc>
          <w:tcPr>
            <w:tcW w:type="dxa" w:w="1512"/>
            <w:vAlign w:val="center"/>
          </w:tcPr>
          <w:p>
            <w:pPr>
              <w:spacing w:before="0" w:after="0" w:line="240" w:lineRule="auto"/>
              <w:ind w:firstLine="0" w:left="0" w:right="0"/>
              <w:jc w:val="center"/>
            </w:pPr>
            <w:r/>
            <w:r>
              <w:t>汽油机电控系统示教板</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套</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电控系统组成与线路认知</w:t>
            </w:r>
          </w:p>
        </w:tc>
      </w:tr>
      <w:tr>
        <w:tc>
          <w:tcPr>
            <w:tcW w:type="dxa" w:w="1512"/>
            <w:vAlign w:val="center"/>
          </w:tcPr>
          <w:p>
            <w:pPr>
              <w:spacing w:before="0" w:after="0" w:line="240" w:lineRule="auto"/>
              <w:ind w:firstLine="0" w:left="0" w:right="0"/>
              <w:jc w:val="center"/>
            </w:pPr>
            <w:r/>
            <w:r>
              <w:t>7</w:t>
            </w:r>
          </w:p>
        </w:tc>
        <w:tc>
          <w:tcPr>
            <w:tcW w:type="dxa" w:w="1512"/>
            <w:vAlign w:val="center"/>
          </w:tcPr>
          <w:p>
            <w:pPr>
              <w:spacing w:before="0" w:after="0" w:line="240" w:lineRule="auto"/>
              <w:ind w:firstLine="0" w:left="0" w:right="0"/>
              <w:jc w:val="center"/>
            </w:pPr>
            <w:r/>
            <w:r>
              <w:t>手动变速器拆装台</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手动变速器拆装与检测</w:t>
            </w:r>
          </w:p>
        </w:tc>
      </w:tr>
      <w:tr>
        <w:tc>
          <w:tcPr>
            <w:tcW w:type="dxa" w:w="1512"/>
            <w:vAlign w:val="center"/>
          </w:tcPr>
          <w:p>
            <w:pPr>
              <w:spacing w:before="0" w:after="0" w:line="240" w:lineRule="auto"/>
              <w:ind w:firstLine="0" w:left="0" w:right="0"/>
              <w:jc w:val="center"/>
            </w:pPr>
            <w:r/>
            <w:r>
              <w:t>8</w:t>
            </w:r>
          </w:p>
        </w:tc>
        <w:tc>
          <w:tcPr>
            <w:tcW w:type="dxa" w:w="1512"/>
            <w:vAlign w:val="center"/>
          </w:tcPr>
          <w:p>
            <w:pPr>
              <w:spacing w:before="0" w:after="0" w:line="240" w:lineRule="auto"/>
              <w:ind w:firstLine="0" w:left="0" w:right="0"/>
              <w:jc w:val="center"/>
            </w:pPr>
            <w:r/>
            <w:r>
              <w:t>自动变速器实训台</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自动变速器结构原理与检修</w:t>
            </w:r>
          </w:p>
        </w:tc>
      </w:tr>
      <w:tr>
        <w:tc>
          <w:tcPr>
            <w:tcW w:type="dxa" w:w="1512"/>
            <w:vAlign w:val="center"/>
          </w:tcPr>
          <w:p>
            <w:pPr>
              <w:spacing w:before="0" w:after="0" w:line="240" w:lineRule="auto"/>
              <w:ind w:firstLine="0" w:left="0" w:right="0"/>
              <w:jc w:val="center"/>
            </w:pPr>
            <w:r/>
            <w:r>
              <w:t>9</w:t>
            </w:r>
          </w:p>
        </w:tc>
        <w:tc>
          <w:tcPr>
            <w:tcW w:type="dxa" w:w="1512"/>
            <w:vAlign w:val="center"/>
          </w:tcPr>
          <w:p>
            <w:pPr>
              <w:spacing w:before="0" w:after="0" w:line="240" w:lineRule="auto"/>
              <w:ind w:firstLine="0" w:left="0" w:right="0"/>
              <w:jc w:val="center"/>
            </w:pPr>
            <w:r/>
            <w:r>
              <w:t>自动变速器解剖模型</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自动变速器内部结构与传动关系认知</w:t>
            </w:r>
          </w:p>
        </w:tc>
      </w:tr>
      <w:tr>
        <w:tc>
          <w:tcPr>
            <w:tcW w:type="dxa" w:w="1512"/>
            <w:vAlign w:val="center"/>
          </w:tcPr>
          <w:p>
            <w:pPr>
              <w:spacing w:before="0" w:after="0" w:line="240" w:lineRule="auto"/>
              <w:ind w:firstLine="0" w:left="0" w:right="0"/>
              <w:jc w:val="center"/>
            </w:pPr>
            <w:r/>
            <w:r>
              <w:t>10</w:t>
            </w:r>
          </w:p>
        </w:tc>
        <w:tc>
          <w:tcPr>
            <w:tcW w:type="dxa" w:w="1512"/>
            <w:vAlign w:val="center"/>
          </w:tcPr>
          <w:p>
            <w:pPr>
              <w:spacing w:before="0" w:after="0" w:line="240" w:lineRule="auto"/>
              <w:ind w:firstLine="0" w:left="0" w:right="0"/>
              <w:jc w:val="center"/>
            </w:pPr>
            <w:r/>
            <w:r>
              <w:t>转向系统实训台</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转向系统结构原理与检修</w:t>
            </w:r>
          </w:p>
        </w:tc>
      </w:tr>
      <w:tr>
        <w:tc>
          <w:tcPr>
            <w:tcW w:type="dxa" w:w="1512"/>
            <w:vAlign w:val="center"/>
          </w:tcPr>
          <w:p>
            <w:pPr>
              <w:spacing w:before="0" w:after="0" w:line="240" w:lineRule="auto"/>
              <w:ind w:firstLine="0" w:left="0" w:right="0"/>
              <w:jc w:val="center"/>
            </w:pPr>
            <w:r/>
            <w:r>
              <w:t>11</w:t>
            </w:r>
          </w:p>
        </w:tc>
        <w:tc>
          <w:tcPr>
            <w:tcW w:type="dxa" w:w="1512"/>
            <w:vAlign w:val="center"/>
          </w:tcPr>
          <w:p>
            <w:pPr>
              <w:spacing w:before="0" w:after="0" w:line="240" w:lineRule="auto"/>
              <w:ind w:firstLine="0" w:left="0" w:right="0"/>
              <w:jc w:val="center"/>
            </w:pPr>
            <w:r/>
            <w:r>
              <w:t>制动（ABS）系统实训台</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制动与防抱死系统原理与故障诊断</w:t>
            </w:r>
          </w:p>
        </w:tc>
      </w:tr>
      <w:tr>
        <w:tc>
          <w:tcPr>
            <w:tcW w:type="dxa" w:w="1512"/>
            <w:vAlign w:val="center"/>
          </w:tcPr>
          <w:p>
            <w:pPr>
              <w:spacing w:before="0" w:after="0" w:line="240" w:lineRule="auto"/>
              <w:ind w:firstLine="0" w:left="0" w:right="0"/>
              <w:jc w:val="center"/>
            </w:pPr>
            <w:r/>
            <w:r>
              <w:t>12</w:t>
            </w:r>
          </w:p>
        </w:tc>
        <w:tc>
          <w:tcPr>
            <w:tcW w:type="dxa" w:w="1512"/>
            <w:vAlign w:val="center"/>
          </w:tcPr>
          <w:p>
            <w:pPr>
              <w:spacing w:before="0" w:after="0" w:line="240" w:lineRule="auto"/>
              <w:ind w:firstLine="0" w:left="0" w:right="0"/>
              <w:jc w:val="center"/>
            </w:pPr>
            <w:r/>
            <w:r>
              <w:t>悬架系统实训台</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悬架系统结构原理与检修</w:t>
            </w:r>
          </w:p>
        </w:tc>
      </w:tr>
      <w:tr>
        <w:tc>
          <w:tcPr>
            <w:tcW w:type="dxa" w:w="1512"/>
            <w:vAlign w:val="center"/>
          </w:tcPr>
          <w:p>
            <w:pPr>
              <w:spacing w:before="0" w:after="0" w:line="240" w:lineRule="auto"/>
              <w:ind w:firstLine="0" w:left="0" w:right="0"/>
              <w:jc w:val="center"/>
            </w:pPr>
            <w:r/>
            <w:r>
              <w:t>13</w:t>
            </w:r>
          </w:p>
        </w:tc>
        <w:tc>
          <w:tcPr>
            <w:tcW w:type="dxa" w:w="1512"/>
            <w:vAlign w:val="center"/>
          </w:tcPr>
          <w:p>
            <w:pPr>
              <w:spacing w:before="0" w:after="0" w:line="240" w:lineRule="auto"/>
              <w:ind w:firstLine="0" w:left="0" w:right="0"/>
              <w:jc w:val="center"/>
            </w:pPr>
            <w:r/>
            <w:r>
              <w:t>全车电器实训台</w:t>
            </w:r>
          </w:p>
        </w:tc>
        <w:tc>
          <w:tcPr>
            <w:tcW w:type="dxa" w:w="1512"/>
            <w:vAlign w:val="center"/>
          </w:tcPr>
          <w:p>
            <w:pPr>
              <w:spacing w:before="0" w:after="0" w:line="240" w:lineRule="auto"/>
              <w:ind w:firstLine="0" w:left="0" w:right="0"/>
              <w:jc w:val="center"/>
            </w:pPr>
            <w:r/>
            <w:r>
              <w:t>奥迪/桑塔纳/速腾等</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2</w:t>
            </w:r>
          </w:p>
        </w:tc>
        <w:tc>
          <w:tcPr>
            <w:tcW w:type="dxa" w:w="1512"/>
            <w:vAlign w:val="center"/>
          </w:tcPr>
          <w:p>
            <w:pPr>
              <w:spacing w:before="0" w:after="0" w:line="240" w:lineRule="auto"/>
              <w:ind w:firstLine="0" w:left="0" w:right="0"/>
              <w:jc w:val="center"/>
            </w:pPr>
            <w:r/>
            <w:r>
              <w:t>整车电器系统认知、检测与排故</w:t>
            </w:r>
          </w:p>
        </w:tc>
      </w:tr>
      <w:tr>
        <w:tc>
          <w:tcPr>
            <w:tcW w:type="dxa" w:w="1512"/>
            <w:vAlign w:val="center"/>
          </w:tcPr>
          <w:p>
            <w:pPr>
              <w:spacing w:before="0" w:after="0" w:line="240" w:lineRule="auto"/>
              <w:ind w:firstLine="0" w:left="0" w:right="0"/>
              <w:jc w:val="center"/>
            </w:pPr>
            <w:r/>
            <w:r>
              <w:t>14</w:t>
            </w:r>
          </w:p>
        </w:tc>
        <w:tc>
          <w:tcPr>
            <w:tcW w:type="dxa" w:w="1512"/>
            <w:vAlign w:val="center"/>
          </w:tcPr>
          <w:p>
            <w:pPr>
              <w:spacing w:before="0" w:after="0" w:line="240" w:lineRule="auto"/>
              <w:ind w:firstLine="0" w:left="0" w:right="0"/>
              <w:jc w:val="center"/>
            </w:pPr>
            <w:r/>
            <w:r>
              <w:t>货车全车电器实训台</w:t>
            </w:r>
          </w:p>
        </w:tc>
        <w:tc>
          <w:tcPr>
            <w:tcW w:type="dxa" w:w="1512"/>
            <w:vAlign w:val="center"/>
          </w:tcPr>
          <w:p>
            <w:pPr>
              <w:spacing w:before="0" w:after="0" w:line="240" w:lineRule="auto"/>
              <w:ind w:firstLine="0" w:left="0" w:right="0"/>
              <w:jc w:val="center"/>
            </w:pPr>
            <w:r/>
            <w:r>
              <w:t>解放 CA125 等 24V 车型</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重卡 24V 电器系统教学</w:t>
            </w:r>
          </w:p>
        </w:tc>
      </w:tr>
      <w:tr>
        <w:tc>
          <w:tcPr>
            <w:tcW w:type="dxa" w:w="1512"/>
            <w:vAlign w:val="center"/>
          </w:tcPr>
          <w:p>
            <w:pPr>
              <w:spacing w:before="0" w:after="0" w:line="240" w:lineRule="auto"/>
              <w:ind w:firstLine="0" w:left="0" w:right="0"/>
              <w:jc w:val="center"/>
            </w:pPr>
            <w:r/>
            <w:r>
              <w:t>15</w:t>
            </w:r>
          </w:p>
        </w:tc>
        <w:tc>
          <w:tcPr>
            <w:tcW w:type="dxa" w:w="1512"/>
            <w:vAlign w:val="center"/>
          </w:tcPr>
          <w:p>
            <w:pPr>
              <w:spacing w:before="0" w:after="0" w:line="240" w:lineRule="auto"/>
              <w:ind w:firstLine="0" w:left="0" w:right="0"/>
              <w:jc w:val="center"/>
            </w:pPr>
            <w:r/>
            <w:r>
              <w:t>汽车空调系统实训台</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空调制冷系统原理与检修</w:t>
            </w:r>
          </w:p>
        </w:tc>
      </w:tr>
      <w:tr>
        <w:tc>
          <w:tcPr>
            <w:tcW w:type="dxa" w:w="1512"/>
            <w:vAlign w:val="center"/>
          </w:tcPr>
          <w:p>
            <w:pPr>
              <w:spacing w:before="0" w:after="0" w:line="240" w:lineRule="auto"/>
              <w:ind w:firstLine="0" w:left="0" w:right="0"/>
              <w:jc w:val="center"/>
            </w:pPr>
            <w:r/>
            <w:r>
              <w:t>16</w:t>
            </w:r>
          </w:p>
        </w:tc>
        <w:tc>
          <w:tcPr>
            <w:tcW w:type="dxa" w:w="1512"/>
            <w:vAlign w:val="center"/>
          </w:tcPr>
          <w:p>
            <w:pPr>
              <w:spacing w:before="0" w:after="0" w:line="240" w:lineRule="auto"/>
              <w:ind w:firstLine="0" w:left="0" w:right="0"/>
              <w:jc w:val="center"/>
            </w:pPr>
            <w:r/>
            <w:r>
              <w:t>汽车解剖模型</w:t>
            </w:r>
          </w:p>
        </w:tc>
        <w:tc>
          <w:tcPr>
            <w:tcW w:type="dxa" w:w="1512"/>
            <w:vAlign w:val="center"/>
          </w:tcPr>
          <w:p>
            <w:pPr>
              <w:spacing w:before="0" w:after="0" w:line="240" w:lineRule="auto"/>
              <w:ind w:firstLine="0" w:left="0" w:right="0"/>
              <w:jc w:val="center"/>
            </w:pPr>
            <w:r/>
            <w:r>
              <w:t>发动机/变速器/底盘总成</w:t>
            </w:r>
          </w:p>
        </w:tc>
        <w:tc>
          <w:tcPr>
            <w:tcW w:type="dxa" w:w="1512"/>
            <w:vAlign w:val="center"/>
          </w:tcPr>
          <w:p>
            <w:pPr>
              <w:spacing w:before="0" w:after="0" w:line="240" w:lineRule="auto"/>
              <w:ind w:firstLine="0" w:left="0" w:right="0"/>
              <w:jc w:val="center"/>
            </w:pPr>
            <w:r/>
            <w:r>
              <w:t>套</w:t>
            </w:r>
          </w:p>
        </w:tc>
        <w:tc>
          <w:tcPr>
            <w:tcW w:type="dxa" w:w="1512"/>
            <w:vAlign w:val="center"/>
          </w:tcPr>
          <w:p>
            <w:pPr>
              <w:spacing w:before="0" w:after="0" w:line="240" w:lineRule="auto"/>
              <w:ind w:firstLine="0" w:left="0" w:right="0"/>
              <w:jc w:val="center"/>
            </w:pPr>
            <w:r/>
            <w:r>
              <w:t>3</w:t>
            </w:r>
          </w:p>
        </w:tc>
        <w:tc>
          <w:tcPr>
            <w:tcW w:type="dxa" w:w="1512"/>
            <w:vAlign w:val="center"/>
          </w:tcPr>
          <w:p>
            <w:pPr>
              <w:spacing w:before="0" w:after="0" w:line="240" w:lineRule="auto"/>
              <w:ind w:firstLine="0" w:left="0" w:right="0"/>
              <w:jc w:val="center"/>
            </w:pPr>
            <w:r/>
            <w:r>
              <w:t>结构可视化认知教学</w:t>
            </w:r>
          </w:p>
        </w:tc>
      </w:tr>
      <w:tr>
        <w:tc>
          <w:tcPr>
            <w:tcW w:type="dxa" w:w="1512"/>
            <w:vAlign w:val="center"/>
          </w:tcPr>
          <w:p>
            <w:pPr>
              <w:spacing w:before="0" w:after="0" w:line="240" w:lineRule="auto"/>
              <w:ind w:firstLine="0" w:left="0" w:right="0"/>
              <w:jc w:val="center"/>
            </w:pPr>
            <w:r/>
            <w:r>
              <w:t>17</w:t>
            </w:r>
          </w:p>
        </w:tc>
        <w:tc>
          <w:tcPr>
            <w:tcW w:type="dxa" w:w="1512"/>
            <w:vAlign w:val="center"/>
          </w:tcPr>
          <w:p>
            <w:pPr>
              <w:spacing w:before="0" w:after="0" w:line="240" w:lineRule="auto"/>
              <w:ind w:firstLine="0" w:left="0" w:right="0"/>
              <w:jc w:val="center"/>
            </w:pPr>
            <w:r/>
            <w:r>
              <w:t>汽车实物示教板</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套</w:t>
            </w:r>
          </w:p>
        </w:tc>
        <w:tc>
          <w:tcPr>
            <w:tcW w:type="dxa" w:w="1512"/>
            <w:vAlign w:val="center"/>
          </w:tcPr>
          <w:p>
            <w:pPr>
              <w:spacing w:before="0" w:after="0" w:line="240" w:lineRule="auto"/>
              <w:ind w:firstLine="0" w:left="0" w:right="0"/>
              <w:jc w:val="center"/>
            </w:pPr>
            <w:r/>
            <w:r>
              <w:t>2</w:t>
            </w:r>
          </w:p>
        </w:tc>
        <w:tc>
          <w:tcPr>
            <w:tcW w:type="dxa" w:w="1512"/>
            <w:vAlign w:val="center"/>
          </w:tcPr>
          <w:p>
            <w:pPr>
              <w:spacing w:before="0" w:after="0" w:line="240" w:lineRule="auto"/>
              <w:ind w:firstLine="0" w:left="0" w:right="0"/>
              <w:jc w:val="center"/>
            </w:pPr>
            <w:r/>
            <w:r>
              <w:t>系统组成与线路示教</w:t>
            </w:r>
          </w:p>
        </w:tc>
      </w:tr>
      <w:tr>
        <w:tc>
          <w:tcPr>
            <w:tcW w:type="dxa" w:w="1512"/>
            <w:vAlign w:val="center"/>
          </w:tcPr>
          <w:p>
            <w:pPr>
              <w:spacing w:before="0" w:after="0" w:line="240" w:lineRule="auto"/>
              <w:ind w:firstLine="0" w:left="0" w:right="0"/>
              <w:jc w:val="center"/>
            </w:pPr>
            <w:r/>
            <w:r>
              <w:t>18</w:t>
            </w:r>
          </w:p>
        </w:tc>
        <w:tc>
          <w:tcPr>
            <w:tcW w:type="dxa" w:w="1512"/>
            <w:vAlign w:val="center"/>
          </w:tcPr>
          <w:p>
            <w:pPr>
              <w:spacing w:before="0" w:after="0" w:line="240" w:lineRule="auto"/>
              <w:ind w:firstLine="0" w:left="0" w:right="0"/>
              <w:jc w:val="center"/>
            </w:pPr>
            <w:r/>
            <w:r>
              <w:t>汽车故障电脑诊断仪（解码器）</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故障码读取、数据流分析与匹配</w:t>
            </w:r>
          </w:p>
        </w:tc>
      </w:tr>
      <w:tr>
        <w:tc>
          <w:tcPr>
            <w:tcW w:type="dxa" w:w="1512"/>
            <w:vAlign w:val="center"/>
          </w:tcPr>
          <w:p>
            <w:pPr>
              <w:spacing w:before="0" w:after="0" w:line="240" w:lineRule="auto"/>
              <w:ind w:firstLine="0" w:left="0" w:right="0"/>
              <w:jc w:val="center"/>
            </w:pPr>
            <w:r/>
            <w:r>
              <w:t>19</w:t>
            </w:r>
          </w:p>
        </w:tc>
        <w:tc>
          <w:tcPr>
            <w:tcW w:type="dxa" w:w="1512"/>
            <w:vAlign w:val="center"/>
          </w:tcPr>
          <w:p>
            <w:pPr>
              <w:spacing w:before="0" w:after="0" w:line="240" w:lineRule="auto"/>
              <w:ind w:firstLine="0" w:left="0" w:right="0"/>
              <w:jc w:val="center"/>
            </w:pPr>
            <w:r/>
            <w:r>
              <w:t>手持示波器</w:t>
            </w:r>
          </w:p>
        </w:tc>
        <w:tc>
          <w:tcPr>
            <w:tcW w:type="dxa" w:w="1512"/>
            <w:vAlign w:val="center"/>
          </w:tcPr>
          <w:p>
            <w:pPr>
              <w:spacing w:before="0" w:after="0" w:line="240" w:lineRule="auto"/>
              <w:ind w:firstLine="0" w:left="0" w:right="0"/>
              <w:jc w:val="center"/>
            </w:pPr>
            <w:r/>
            <w:r>
              <w:t>双输入 100MHz</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波形与信号测量</w:t>
            </w:r>
          </w:p>
        </w:tc>
      </w:tr>
      <w:tr>
        <w:tc>
          <w:tcPr>
            <w:tcW w:type="dxa" w:w="1512"/>
            <w:vAlign w:val="center"/>
          </w:tcPr>
          <w:p>
            <w:pPr>
              <w:spacing w:before="0" w:after="0" w:line="240" w:lineRule="auto"/>
              <w:ind w:firstLine="0" w:left="0" w:right="0"/>
              <w:jc w:val="center"/>
            </w:pPr>
            <w:r/>
            <w:r>
              <w:t>20</w:t>
            </w:r>
          </w:p>
        </w:tc>
        <w:tc>
          <w:tcPr>
            <w:tcW w:type="dxa" w:w="1512"/>
            <w:vAlign w:val="center"/>
          </w:tcPr>
          <w:p>
            <w:pPr>
              <w:spacing w:before="0" w:after="0" w:line="240" w:lineRule="auto"/>
              <w:ind w:firstLine="0" w:left="0" w:right="0"/>
              <w:jc w:val="center"/>
            </w:pPr>
            <w:r/>
            <w:r>
              <w:t>多功能万用表</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2</w:t>
            </w:r>
          </w:p>
        </w:tc>
        <w:tc>
          <w:tcPr>
            <w:tcW w:type="dxa" w:w="1512"/>
            <w:vAlign w:val="center"/>
          </w:tcPr>
          <w:p>
            <w:pPr>
              <w:spacing w:before="0" w:after="0" w:line="240" w:lineRule="auto"/>
              <w:ind w:firstLine="0" w:left="0" w:right="0"/>
              <w:jc w:val="center"/>
            </w:pPr>
            <w:r/>
            <w:r>
              <w:t>电气参数测量</w:t>
            </w:r>
          </w:p>
        </w:tc>
      </w:tr>
      <w:tr>
        <w:tc>
          <w:tcPr>
            <w:tcW w:type="dxa" w:w="1512"/>
            <w:vAlign w:val="center"/>
          </w:tcPr>
          <w:p>
            <w:pPr>
              <w:spacing w:before="0" w:after="0" w:line="240" w:lineRule="auto"/>
              <w:ind w:firstLine="0" w:left="0" w:right="0"/>
              <w:jc w:val="center"/>
            </w:pPr>
            <w:r/>
            <w:r>
              <w:t>21</w:t>
            </w:r>
          </w:p>
        </w:tc>
        <w:tc>
          <w:tcPr>
            <w:tcW w:type="dxa" w:w="1512"/>
            <w:vAlign w:val="center"/>
          </w:tcPr>
          <w:p>
            <w:pPr>
              <w:spacing w:before="0" w:after="0" w:line="240" w:lineRule="auto"/>
              <w:ind w:firstLine="0" w:left="0" w:right="0"/>
              <w:jc w:val="center"/>
            </w:pPr>
            <w:r/>
            <w:r>
              <w:t>气缸压力表/燃油油压表/真空表</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套</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发动机机械与油路检测</w:t>
            </w:r>
          </w:p>
        </w:tc>
      </w:tr>
      <w:tr>
        <w:tc>
          <w:tcPr>
            <w:tcW w:type="dxa" w:w="1512"/>
            <w:vAlign w:val="center"/>
          </w:tcPr>
          <w:p>
            <w:pPr>
              <w:spacing w:before="0" w:after="0" w:line="240" w:lineRule="auto"/>
              <w:ind w:firstLine="0" w:left="0" w:right="0"/>
              <w:jc w:val="center"/>
            </w:pPr>
            <w:r/>
            <w:r>
              <w:t>22</w:t>
            </w:r>
          </w:p>
        </w:tc>
        <w:tc>
          <w:tcPr>
            <w:tcW w:type="dxa" w:w="1512"/>
            <w:vAlign w:val="center"/>
          </w:tcPr>
          <w:p>
            <w:pPr>
              <w:spacing w:before="0" w:after="0" w:line="240" w:lineRule="auto"/>
              <w:ind w:firstLine="0" w:left="0" w:right="0"/>
              <w:jc w:val="center"/>
            </w:pPr>
            <w:r/>
            <w:r>
              <w:t>汽车尾气分析仪</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排放检测与发动机工况诊断</w:t>
            </w:r>
          </w:p>
        </w:tc>
      </w:tr>
      <w:tr>
        <w:tc>
          <w:tcPr>
            <w:tcW w:type="dxa" w:w="1512"/>
            <w:vAlign w:val="center"/>
          </w:tcPr>
          <w:p>
            <w:pPr>
              <w:spacing w:before="0" w:after="0" w:line="240" w:lineRule="auto"/>
              <w:ind w:firstLine="0" w:left="0" w:right="0"/>
              <w:jc w:val="center"/>
            </w:pPr>
            <w:r/>
            <w:r>
              <w:t>23</w:t>
            </w:r>
          </w:p>
        </w:tc>
        <w:tc>
          <w:tcPr>
            <w:tcW w:type="dxa" w:w="1512"/>
            <w:vAlign w:val="center"/>
          </w:tcPr>
          <w:p>
            <w:pPr>
              <w:spacing w:before="0" w:after="0" w:line="240" w:lineRule="auto"/>
              <w:ind w:firstLine="0" w:left="0" w:right="0"/>
              <w:jc w:val="center"/>
            </w:pPr>
            <w:r/>
            <w:r>
              <w:t>双柱龙门举升机</w:t>
            </w:r>
          </w:p>
        </w:tc>
        <w:tc>
          <w:tcPr>
            <w:tcW w:type="dxa" w:w="1512"/>
            <w:vAlign w:val="center"/>
          </w:tcPr>
          <w:p>
            <w:pPr>
              <w:spacing w:before="0" w:after="0" w:line="240" w:lineRule="auto"/>
              <w:ind w:firstLine="0" w:left="0" w:right="0"/>
              <w:jc w:val="center"/>
            </w:pPr>
            <w:r/>
            <w:r>
              <w:t>额定载荷 3500kg</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整车举升作业</w:t>
            </w:r>
          </w:p>
        </w:tc>
      </w:tr>
      <w:tr>
        <w:tc>
          <w:tcPr>
            <w:tcW w:type="dxa" w:w="1512"/>
            <w:vAlign w:val="center"/>
          </w:tcPr>
          <w:p>
            <w:pPr>
              <w:spacing w:before="0" w:after="0" w:line="240" w:lineRule="auto"/>
              <w:ind w:firstLine="0" w:left="0" w:right="0"/>
              <w:jc w:val="center"/>
            </w:pPr>
            <w:r/>
            <w:r>
              <w:t>24</w:t>
            </w:r>
          </w:p>
        </w:tc>
        <w:tc>
          <w:tcPr>
            <w:tcW w:type="dxa" w:w="1512"/>
            <w:vAlign w:val="center"/>
          </w:tcPr>
          <w:p>
            <w:pPr>
              <w:spacing w:before="0" w:after="0" w:line="240" w:lineRule="auto"/>
              <w:ind w:firstLine="0" w:left="0" w:right="0"/>
              <w:jc w:val="center"/>
            </w:pPr>
            <w:r/>
            <w:r>
              <w:t>四轮定位仪及大剪举升器</w:t>
            </w:r>
          </w:p>
        </w:tc>
        <w:tc>
          <w:tcPr>
            <w:tcW w:type="dxa" w:w="1512"/>
            <w:vAlign w:val="center"/>
          </w:tcPr>
          <w:p>
            <w:pPr>
              <w:spacing w:before="0" w:after="0" w:line="240" w:lineRule="auto"/>
              <w:ind w:firstLine="0" w:left="0" w:right="0"/>
              <w:jc w:val="center"/>
            </w:pPr>
            <w:r/>
            <w:r>
              <w:t>3D 三维测量</w:t>
            </w:r>
          </w:p>
        </w:tc>
        <w:tc>
          <w:tcPr>
            <w:tcW w:type="dxa" w:w="1512"/>
            <w:vAlign w:val="center"/>
          </w:tcPr>
          <w:p>
            <w:pPr>
              <w:spacing w:before="0" w:after="0" w:line="240" w:lineRule="auto"/>
              <w:ind w:firstLine="0" w:left="0" w:right="0"/>
              <w:jc w:val="center"/>
            </w:pPr>
            <w:r/>
            <w:r>
              <w:t>套</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四轮定位检测与调整</w:t>
            </w:r>
          </w:p>
        </w:tc>
      </w:tr>
      <w:tr>
        <w:tc>
          <w:tcPr>
            <w:tcW w:type="dxa" w:w="1512"/>
            <w:vAlign w:val="center"/>
          </w:tcPr>
          <w:p>
            <w:pPr>
              <w:spacing w:before="0" w:after="0" w:line="240" w:lineRule="auto"/>
              <w:ind w:firstLine="0" w:left="0" w:right="0"/>
              <w:jc w:val="center"/>
            </w:pPr>
            <w:r/>
            <w:r>
              <w:t>25</w:t>
            </w:r>
          </w:p>
        </w:tc>
        <w:tc>
          <w:tcPr>
            <w:tcW w:type="dxa" w:w="1512"/>
            <w:vAlign w:val="center"/>
          </w:tcPr>
          <w:p>
            <w:pPr>
              <w:spacing w:before="0" w:after="0" w:line="240" w:lineRule="auto"/>
              <w:ind w:firstLine="0" w:left="0" w:right="0"/>
              <w:jc w:val="center"/>
            </w:pPr>
            <w:r/>
            <w:r>
              <w:t>轮胎拆装机/动平衡机</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各 1</w:t>
            </w:r>
          </w:p>
        </w:tc>
        <w:tc>
          <w:tcPr>
            <w:tcW w:type="dxa" w:w="1512"/>
            <w:vAlign w:val="center"/>
          </w:tcPr>
          <w:p>
            <w:pPr>
              <w:spacing w:before="0" w:after="0" w:line="240" w:lineRule="auto"/>
              <w:ind w:firstLine="0" w:left="0" w:right="0"/>
              <w:jc w:val="center"/>
            </w:pPr>
            <w:r/>
            <w:r>
              <w:t>轮胎拆装与动平衡</w:t>
            </w:r>
          </w:p>
        </w:tc>
      </w:tr>
      <w:tr>
        <w:tc>
          <w:tcPr>
            <w:tcW w:type="dxa" w:w="1512"/>
            <w:vAlign w:val="center"/>
          </w:tcPr>
          <w:p>
            <w:pPr>
              <w:spacing w:before="0" w:after="0" w:line="240" w:lineRule="auto"/>
              <w:ind w:firstLine="0" w:left="0" w:right="0"/>
              <w:jc w:val="center"/>
            </w:pPr>
            <w:r/>
            <w:r>
              <w:t>26</w:t>
            </w:r>
          </w:p>
        </w:tc>
        <w:tc>
          <w:tcPr>
            <w:tcW w:type="dxa" w:w="1512"/>
            <w:vAlign w:val="center"/>
          </w:tcPr>
          <w:p>
            <w:pPr>
              <w:spacing w:before="0" w:after="0" w:line="240" w:lineRule="auto"/>
              <w:ind w:firstLine="0" w:left="0" w:right="0"/>
              <w:jc w:val="center"/>
            </w:pPr>
            <w:r/>
            <w:r>
              <w:t>蓄电池检测仪/充电机</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台</w:t>
            </w:r>
          </w:p>
        </w:tc>
        <w:tc>
          <w:tcPr>
            <w:tcW w:type="dxa" w:w="1512"/>
            <w:vAlign w:val="center"/>
          </w:tcPr>
          <w:p>
            <w:pPr>
              <w:spacing w:before="0" w:after="0" w:line="240" w:lineRule="auto"/>
              <w:ind w:firstLine="0" w:left="0" w:right="0"/>
              <w:jc w:val="center"/>
            </w:pPr>
            <w:r/>
            <w:r>
              <w:t>各 1</w:t>
            </w:r>
          </w:p>
        </w:tc>
        <w:tc>
          <w:tcPr>
            <w:tcW w:type="dxa" w:w="1512"/>
            <w:vAlign w:val="center"/>
          </w:tcPr>
          <w:p>
            <w:pPr>
              <w:spacing w:before="0" w:after="0" w:line="240" w:lineRule="auto"/>
              <w:ind w:firstLine="0" w:left="0" w:right="0"/>
              <w:jc w:val="center"/>
            </w:pPr>
            <w:r/>
            <w:r>
              <w:t>蓄电池检测与充电</w:t>
            </w:r>
          </w:p>
        </w:tc>
      </w:tr>
      <w:tr>
        <w:tc>
          <w:tcPr>
            <w:tcW w:type="dxa" w:w="1512"/>
            <w:vAlign w:val="center"/>
          </w:tcPr>
          <w:p>
            <w:pPr>
              <w:spacing w:before="0" w:after="0" w:line="240" w:lineRule="auto"/>
              <w:ind w:firstLine="0" w:left="0" w:right="0"/>
              <w:jc w:val="center"/>
            </w:pPr>
            <w:r/>
            <w:r>
              <w:t>27</w:t>
            </w:r>
          </w:p>
        </w:tc>
        <w:tc>
          <w:tcPr>
            <w:tcW w:type="dxa" w:w="1512"/>
            <w:vAlign w:val="center"/>
          </w:tcPr>
          <w:p>
            <w:pPr>
              <w:spacing w:before="0" w:after="0" w:line="240" w:lineRule="auto"/>
              <w:ind w:firstLine="0" w:left="0" w:right="0"/>
              <w:jc w:val="center"/>
            </w:pPr>
            <w:r/>
            <w:r>
              <w:t>拆装工量具及工具车</w:t>
            </w:r>
          </w:p>
        </w:tc>
        <w:tc>
          <w:tcPr>
            <w:tcW w:type="dxa" w:w="1512"/>
            <w:vAlign w:val="center"/>
          </w:tcPr>
          <w:p>
            <w:pPr>
              <w:spacing w:before="0" w:after="0" w:line="240" w:lineRule="auto"/>
              <w:ind w:firstLine="0" w:left="0" w:right="0"/>
              <w:jc w:val="center"/>
            </w:pPr>
            <w:r/>
            <w:r>
              <w:t>121 件套/7 抽屉</w:t>
            </w:r>
          </w:p>
        </w:tc>
        <w:tc>
          <w:tcPr>
            <w:tcW w:type="dxa" w:w="1512"/>
            <w:vAlign w:val="center"/>
          </w:tcPr>
          <w:p>
            <w:pPr>
              <w:spacing w:before="0" w:after="0" w:line="240" w:lineRule="auto"/>
              <w:ind w:firstLine="0" w:left="0" w:right="0"/>
              <w:jc w:val="center"/>
            </w:pPr>
            <w:r/>
            <w:r>
              <w:t>套</w:t>
            </w:r>
          </w:p>
        </w:tc>
        <w:tc>
          <w:tcPr>
            <w:tcW w:type="dxa" w:w="1512"/>
            <w:vAlign w:val="center"/>
          </w:tcPr>
          <w:p>
            <w:pPr>
              <w:spacing w:before="0" w:after="0" w:line="240" w:lineRule="auto"/>
              <w:ind w:firstLine="0" w:left="0" w:right="0"/>
              <w:jc w:val="center"/>
            </w:pPr>
            <w:r/>
            <w:r>
              <w:t>2</w:t>
            </w:r>
          </w:p>
        </w:tc>
        <w:tc>
          <w:tcPr>
            <w:tcW w:type="dxa" w:w="1512"/>
            <w:vAlign w:val="center"/>
          </w:tcPr>
          <w:p>
            <w:pPr>
              <w:spacing w:before="0" w:after="0" w:line="240" w:lineRule="auto"/>
              <w:ind w:firstLine="0" w:left="0" w:right="0"/>
              <w:jc w:val="center"/>
            </w:pPr>
            <w:r/>
            <w:r>
              <w:t>拆装、测量与检测通用工具</w:t>
            </w:r>
          </w:p>
        </w:tc>
      </w:tr>
      <w:tr>
        <w:tc>
          <w:tcPr>
            <w:tcW w:type="dxa" w:w="1512"/>
            <w:vAlign w:val="center"/>
          </w:tcPr>
          <w:p>
            <w:pPr>
              <w:spacing w:before="0" w:after="0" w:line="240" w:lineRule="auto"/>
              <w:ind w:firstLine="0" w:left="0" w:right="0"/>
              <w:jc w:val="center"/>
            </w:pPr>
            <w:r/>
            <w:r>
              <w:t>28</w:t>
            </w:r>
          </w:p>
        </w:tc>
        <w:tc>
          <w:tcPr>
            <w:tcW w:type="dxa" w:w="1512"/>
            <w:vAlign w:val="center"/>
          </w:tcPr>
          <w:p>
            <w:pPr>
              <w:spacing w:before="0" w:after="0" w:line="240" w:lineRule="auto"/>
              <w:ind w:firstLine="0" w:left="0" w:right="0"/>
              <w:jc w:val="center"/>
            </w:pPr>
            <w:r/>
            <w:r>
              <w:t>防护套装</w:t>
            </w:r>
          </w:p>
        </w:tc>
        <w:tc>
          <w:tcPr>
            <w:tcW w:type="dxa" w:w="1512"/>
            <w:vAlign w:val="center"/>
          </w:tcPr>
          <w:p>
            <w:pPr>
              <w:spacing w:before="0" w:after="0" w:line="240" w:lineRule="auto"/>
              <w:ind w:firstLine="0" w:left="0" w:right="0"/>
              <w:jc w:val="center"/>
            </w:pPr>
            <w:r/>
            <w:r>
              <w:t>绝缘/耐磨手套、护目镜等</w:t>
            </w:r>
          </w:p>
        </w:tc>
        <w:tc>
          <w:tcPr>
            <w:tcW w:type="dxa" w:w="1512"/>
            <w:vAlign w:val="center"/>
          </w:tcPr>
          <w:p>
            <w:pPr>
              <w:spacing w:before="0" w:after="0" w:line="240" w:lineRule="auto"/>
              <w:ind w:firstLine="0" w:left="0" w:right="0"/>
              <w:jc w:val="center"/>
            </w:pPr>
            <w:r/>
            <w:r>
              <w:t>套</w:t>
            </w:r>
          </w:p>
        </w:tc>
        <w:tc>
          <w:tcPr>
            <w:tcW w:type="dxa" w:w="1512"/>
            <w:vAlign w:val="center"/>
          </w:tcPr>
          <w:p>
            <w:pPr>
              <w:spacing w:before="0" w:after="0" w:line="240" w:lineRule="auto"/>
              <w:ind w:firstLine="0" w:left="0" w:right="0"/>
              <w:jc w:val="center"/>
            </w:pPr>
            <w:r/>
            <w:r>
              <w:t>4</w:t>
            </w:r>
          </w:p>
        </w:tc>
        <w:tc>
          <w:tcPr>
            <w:tcW w:type="dxa" w:w="1512"/>
            <w:vAlign w:val="center"/>
          </w:tcPr>
          <w:p>
            <w:pPr>
              <w:spacing w:before="0" w:after="0" w:line="240" w:lineRule="auto"/>
              <w:ind w:firstLine="0" w:left="0" w:right="0"/>
              <w:jc w:val="center"/>
            </w:pPr>
            <w:r/>
            <w:r>
              <w:t>实训安全防护</w:t>
            </w:r>
          </w:p>
        </w:tc>
      </w:tr>
      <w:tr>
        <w:tc>
          <w:tcPr>
            <w:tcW w:type="dxa" w:w="1512"/>
            <w:vAlign w:val="center"/>
          </w:tcPr>
          <w:p>
            <w:pPr>
              <w:spacing w:before="0" w:after="0" w:line="240" w:lineRule="auto"/>
              <w:ind w:firstLine="0" w:left="0" w:right="0"/>
              <w:jc w:val="center"/>
            </w:pPr>
            <w:r/>
            <w:r>
              <w:t>29</w:t>
            </w:r>
          </w:p>
        </w:tc>
        <w:tc>
          <w:tcPr>
            <w:tcW w:type="dxa" w:w="1512"/>
            <w:vAlign w:val="center"/>
          </w:tcPr>
          <w:p>
            <w:pPr>
              <w:spacing w:before="0" w:after="0" w:line="240" w:lineRule="auto"/>
              <w:ind w:firstLine="0" w:left="0" w:right="0"/>
              <w:jc w:val="center"/>
            </w:pPr>
            <w:r/>
            <w:r>
              <w:t>空气压缩系统</w:t>
            </w:r>
          </w:p>
        </w:tc>
        <w:tc>
          <w:tcPr>
            <w:tcW w:type="dxa" w:w="1512"/>
            <w:vAlign w:val="center"/>
          </w:tcPr>
          <w:p>
            <w:pPr>
              <w:spacing w:before="0" w:after="0" w:line="240" w:lineRule="auto"/>
              <w:ind w:firstLine="0" w:left="0" w:right="0"/>
              <w:jc w:val="center"/>
            </w:pPr>
            <w:r/>
            <w:r>
              <w:t>螺杆压缩机 7.5KW 及配套</w:t>
            </w:r>
          </w:p>
        </w:tc>
        <w:tc>
          <w:tcPr>
            <w:tcW w:type="dxa" w:w="1512"/>
            <w:vAlign w:val="center"/>
          </w:tcPr>
          <w:p>
            <w:pPr>
              <w:spacing w:before="0" w:after="0" w:line="240" w:lineRule="auto"/>
              <w:ind w:firstLine="0" w:left="0" w:right="0"/>
              <w:jc w:val="center"/>
            </w:pPr>
            <w:r/>
            <w:r>
              <w:t>套</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气动工具与设备气源</w:t>
            </w:r>
          </w:p>
        </w:tc>
      </w:tr>
      <w:tr>
        <w:tc>
          <w:tcPr>
            <w:tcW w:type="dxa" w:w="1512"/>
            <w:vAlign w:val="center"/>
          </w:tcPr>
          <w:p>
            <w:pPr>
              <w:spacing w:before="0" w:after="0" w:line="240" w:lineRule="auto"/>
              <w:ind w:firstLine="0" w:left="0" w:right="0"/>
              <w:jc w:val="center"/>
            </w:pPr>
            <w:r/>
            <w:r>
              <w:t>30</w:t>
            </w:r>
          </w:p>
        </w:tc>
        <w:tc>
          <w:tcPr>
            <w:tcW w:type="dxa" w:w="1512"/>
            <w:vAlign w:val="center"/>
          </w:tcPr>
          <w:p>
            <w:pPr>
              <w:spacing w:before="0" w:after="0" w:line="240" w:lineRule="auto"/>
              <w:ind w:firstLine="0" w:left="0" w:right="0"/>
              <w:jc w:val="center"/>
            </w:pPr>
            <w:r/>
            <w:r>
              <w:t>教学挂图与多媒体教学软件</w:t>
            </w:r>
          </w:p>
        </w:tc>
        <w:tc>
          <w:tcPr>
            <w:tcW w:type="dxa" w:w="1512"/>
            <w:vAlign w:val="center"/>
          </w:tcPr>
          <w:p>
            <w:pPr>
              <w:spacing w:before="0" w:after="0" w:line="240" w:lineRule="auto"/>
              <w:ind w:firstLine="0" w:left="0" w:right="0"/>
              <w:jc w:val="center"/>
            </w:pPr>
            <w:r/>
            <w:r>
              <w:t>通用</w:t>
            </w:r>
          </w:p>
        </w:tc>
        <w:tc>
          <w:tcPr>
            <w:tcW w:type="dxa" w:w="1512"/>
            <w:vAlign w:val="center"/>
          </w:tcPr>
          <w:p>
            <w:pPr>
              <w:spacing w:before="0" w:after="0" w:line="240" w:lineRule="auto"/>
              <w:ind w:firstLine="0" w:left="0" w:right="0"/>
              <w:jc w:val="center"/>
            </w:pPr>
            <w:r/>
            <w:r>
              <w:t>套</w:t>
            </w:r>
          </w:p>
        </w:tc>
        <w:tc>
          <w:tcPr>
            <w:tcW w:type="dxa" w:w="1512"/>
            <w:vAlign w:val="center"/>
          </w:tcPr>
          <w:p>
            <w:pPr>
              <w:spacing w:before="0" w:after="0" w:line="240" w:lineRule="auto"/>
              <w:ind w:firstLine="0" w:left="0" w:right="0"/>
              <w:jc w:val="center"/>
            </w:pPr>
            <w:r/>
            <w:r>
              <w:t>1</w:t>
            </w:r>
          </w:p>
        </w:tc>
        <w:tc>
          <w:tcPr>
            <w:tcW w:type="dxa" w:w="1512"/>
            <w:vAlign w:val="center"/>
          </w:tcPr>
          <w:p>
            <w:pPr>
              <w:spacing w:before="0" w:after="0" w:line="240" w:lineRule="auto"/>
              <w:ind w:firstLine="0" w:left="0" w:right="0"/>
              <w:jc w:val="center"/>
            </w:pPr>
            <w:r/>
            <w:r>
              <w:t>理论教学与资源共享</w:t>
            </w:r>
          </w:p>
        </w:tc>
      </w:tr>
    </w:tbl>
    <w:p>
      <w:pPr>
        <w:pStyle w:val="BodyText"/>
      </w:pPr>
      <w:r>
        <w:t>设备价格及合计金额以正式商务报价单为准，本方案可按学校预算与场地条件进行配置增删与调整。</w:t>
      </w:r>
    </w:p>
    <w:p>
      <w:pPr>
        <w:pStyle w:val="Heading1"/>
      </w:pPr>
      <w:r>
        <w:t>四、主要设备功能与技术参数</w:t>
      </w:r>
    </w:p>
    <w:p>
      <w:pPr>
        <w:pStyle w:val="Heading2"/>
      </w:pPr>
      <w:r>
        <w:t>4.1 发动机拆装运行台（翻转架）</w:t>
      </w:r>
    </w:p>
    <w:p>
      <w:pPr>
        <w:pStyle w:val="BodyText"/>
      </w:pPr>
      <w:r>
        <w:rPr>
          <w:b/>
        </w:rPr>
        <w:t>产品简介</w:t>
      </w:r>
      <w:r>
        <w:t>：以原厂发动机总成为基础，配套专用翻转架连接机构，可对发动机进行拆装、运行演示与维修考核，提升学生实际操作技能与岗位适应能力。</w:t>
      </w:r>
    </w:p>
    <w:p>
      <w:pPr>
        <w:pStyle w:val="BodyText"/>
      </w:pPr>
      <w:r>
        <w:rPr>
          <w:b/>
        </w:rPr>
        <w:t>功能特点</w:t>
      </w:r>
      <w:r>
        <w:t>：</w:t>
      </w:r>
    </w:p>
    <w:p>
      <w:pPr>
        <w:pStyle w:val="ListBullet"/>
      </w:pPr>
      <w:r>
        <w:t>配套原厂发动机总成，满足拆装、测量、维修、运行演示与考核的技术需求；</w:t>
      </w:r>
    </w:p>
    <w:p>
      <w:pPr>
        <w:pStyle w:val="ListBullet"/>
      </w:pPr>
      <w:r>
        <w:t>翻转架可 360° 任意角度旋转并固定，方便缸体、缸盖、油底壳、正时机构等部位的拆装；</w:t>
      </w:r>
    </w:p>
    <w:p>
      <w:pPr>
        <w:pStyle w:val="ListBullet"/>
      </w:pPr>
      <w:r>
        <w:t>台架采用国标钢材无缝焊接，金属表面喷烤漆处理，漆面坚固美观；配备接油盘，满足"三不落地"维修要求；</w:t>
      </w:r>
    </w:p>
    <w:p>
      <w:pPr>
        <w:pStyle w:val="ListBullet"/>
      </w:pPr>
      <w:r>
        <w:t>底部带自锁脚轮与固定调节螺栓，便于移动与固定。</w:t>
      </w:r>
    </w:p>
    <w:p>
      <w:pPr>
        <w:pStyle w:val="BodyText"/>
      </w:pPr>
      <w:r>
        <w:rPr>
          <w:b/>
        </w:rPr>
        <w:t>可完成实训项目</w:t>
      </w:r>
      <w:r>
        <w:t>：发动机总成拆装、缸盖与缸体分解、正时系统拆装与校对、油底壳与曲柄连杆机构拆装、发动机运行演示。</w:t>
      </w:r>
    </w:p>
    <w:p>
      <w:pPr>
        <w:pStyle w:val="Heading2"/>
      </w:pPr>
      <w:r>
        <w:t>4.2 电控发动机实训台（传感器执行器）</w:t>
      </w:r>
    </w:p>
    <w:p>
      <w:pPr>
        <w:pStyle w:val="BodyText"/>
      </w:pPr>
      <w:r>
        <w:rPr>
          <w:b/>
        </w:rPr>
        <w:t>产品简介</w:t>
      </w:r>
      <w:r>
        <w:t>：以原车发动机电控系统为基础，将电子控制单元、各类传感器与执行器按原车位置安装于专业台架，用于电控系统结构原理认知、信号检测与故障诊断教学。</w:t>
      </w:r>
    </w:p>
    <w:p>
      <w:pPr>
        <w:pStyle w:val="BodyText"/>
      </w:pPr>
      <w:r>
        <w:rPr>
          <w:b/>
        </w:rPr>
        <w:t>功能特点</w:t>
      </w:r>
      <w:r>
        <w:t>：</w:t>
      </w:r>
    </w:p>
    <w:p>
      <w:pPr>
        <w:pStyle w:val="ListBullet"/>
      </w:pPr>
      <w:r>
        <w:t>模块化设计，将原车电控单元、进气压力/温度、节气门位置、氧传感器、喷油器、点火线圈等部件固定于操作面板上；</w:t>
      </w:r>
    </w:p>
    <w:p>
      <w:pPr>
        <w:pStyle w:val="ListBullet"/>
      </w:pPr>
      <w:r>
        <w:t>保留原车线束连接，各线束插头旁设并联双插头并标注针脚编号，与原厂电路图脚位对应，满足低压信号检测与动态数据流读取需要；</w:t>
      </w:r>
    </w:p>
    <w:p>
      <w:pPr>
        <w:pStyle w:val="ListBullet"/>
      </w:pPr>
      <w:r>
        <w:t>支持大众电控 18 种模块的演示与测量，可进行传感器信号模拟与执行器动作测试；</w:t>
      </w:r>
    </w:p>
    <w:p>
      <w:pPr>
        <w:pStyle w:val="ListBullet"/>
      </w:pPr>
      <w:r>
        <w:t>配备智能故障考核系统，教师端可设置故障、学生端答题、成绩自动存储，具备密码管理、故障名称编辑与故障恢复测试功能；</w:t>
      </w:r>
    </w:p>
    <w:p>
      <w:pPr>
        <w:pStyle w:val="ListBullet"/>
      </w:pPr>
      <w:r>
        <w:t>台架工艺规范，采用铝合金型材或钢质结构，电气安装按相关标准实施。</w:t>
      </w:r>
    </w:p>
    <w:p>
      <w:pPr>
        <w:pStyle w:val="BodyText"/>
      </w:pPr>
      <w:r>
        <w:rPr>
          <w:b/>
        </w:rPr>
        <w:t>可完成实训项目</w:t>
      </w:r>
      <w:r>
        <w:t>：电控系统组成认知、传感器信号检测、执行器动作测试、故障码读取与数据流分析、典型电控故障诊断与排除。</w:t>
      </w:r>
    </w:p>
    <w:p>
      <w:pPr>
        <w:pStyle w:val="Heading2"/>
      </w:pPr>
      <w:r>
        <w:t>4.3 自动变速器实训台</w:t>
      </w:r>
    </w:p>
    <w:p>
      <w:pPr>
        <w:pStyle w:val="BodyText"/>
      </w:pPr>
      <w:r>
        <w:rPr>
          <w:b/>
        </w:rPr>
        <w:t>产品简介</w:t>
      </w:r>
      <w:r>
        <w:t>：以原车自动变速器总成及控制系统为基础，配套专用台架与检测接口，用于自动变速器结构原理认知与检修实训。</w:t>
      </w:r>
    </w:p>
    <w:p>
      <w:pPr>
        <w:pStyle w:val="BodyText"/>
      </w:pPr>
      <w:r>
        <w:rPr>
          <w:b/>
        </w:rPr>
        <w:t>功能特点</w:t>
      </w:r>
      <w:r>
        <w:t>：</w:t>
      </w:r>
    </w:p>
    <w:p>
      <w:pPr>
        <w:pStyle w:val="ListBullet"/>
      </w:pPr>
      <w:r>
        <w:t>以原车自动变速器为载体，保留油路、液压控制与电控线路连接关系；</w:t>
      </w:r>
    </w:p>
    <w:p>
      <w:pPr>
        <w:pStyle w:val="ListBullet"/>
      </w:pPr>
      <w:r>
        <w:t>各线束插头旁设并联双插头并标注针脚编号，满足电控信号检测与数据诊断需要；</w:t>
      </w:r>
    </w:p>
    <w:p>
      <w:pPr>
        <w:pStyle w:val="ListBullet"/>
      </w:pPr>
      <w:r>
        <w:t>配套解剖模型辅助展示行星齿轮组、液力变矩器、换挡执行元件等内部结构；</w:t>
      </w:r>
    </w:p>
    <w:p>
      <w:pPr>
        <w:pStyle w:val="ListBullet"/>
      </w:pPr>
      <w:r>
        <w:t>配备智能故障考核系统，支持故障设置与考核答题。</w:t>
      </w:r>
    </w:p>
    <w:p>
      <w:pPr>
        <w:pStyle w:val="BodyText"/>
      </w:pPr>
      <w:r>
        <w:rPr>
          <w:b/>
        </w:rPr>
        <w:t>可完成实训项目</w:t>
      </w:r>
      <w:r>
        <w:t>：自动变速器结构与传动原理认知、换挡执行元件识别、电控信号检测、常见故障诊断与排除。</w:t>
      </w:r>
    </w:p>
    <w:p>
      <w:pPr>
        <w:pStyle w:val="Heading2"/>
      </w:pPr>
      <w:r>
        <w:t>4.4 底盘系统实训台（转向/制动/悬架）</w:t>
      </w:r>
    </w:p>
    <w:p>
      <w:pPr>
        <w:pStyle w:val="BodyText"/>
      </w:pPr>
      <w:r>
        <w:rPr>
          <w:b/>
        </w:rPr>
        <w:t>产品简介</w:t>
      </w:r>
      <w:r>
        <w:t>：以原车前桥、转向、制动与悬架系统为基础分别制作，用于底盘系统结构原理认知与检修实训。</w:t>
      </w:r>
    </w:p>
    <w:p>
      <w:pPr>
        <w:pStyle w:val="BodyText"/>
      </w:pPr>
      <w:r>
        <w:rPr>
          <w:b/>
        </w:rPr>
        <w:t>功能特点</w:t>
      </w:r>
      <w:r>
        <w:t>：</w:t>
      </w:r>
    </w:p>
    <w:p>
      <w:pPr>
        <w:pStyle w:val="ListBullet"/>
      </w:pPr>
      <w:r>
        <w:t>模块化设计，将原车转向器总成、制动总成、ABS 控制单元、悬架部件等安装固定在专业基座上；</w:t>
      </w:r>
    </w:p>
    <w:p>
      <w:pPr>
        <w:pStyle w:val="ListBullet"/>
      </w:pPr>
      <w:r>
        <w:t>保留原车线束连接，并联双插头标注针脚编号，满足低压信号检测与数据诊断需要；</w:t>
      </w:r>
    </w:p>
    <w:p>
      <w:pPr>
        <w:pStyle w:val="ListBullet"/>
      </w:pPr>
      <w:r>
        <w:t>采用原车线束布置，各电气部件插头装并联双插头，满足检测与诊断需要；</w:t>
      </w:r>
    </w:p>
    <w:p>
      <w:pPr>
        <w:pStyle w:val="ListBullet"/>
      </w:pPr>
      <w:r>
        <w:t>配备智能故障考核系统，功能同 4.2。</w:t>
      </w:r>
    </w:p>
    <w:p>
      <w:pPr>
        <w:pStyle w:val="BodyText"/>
      </w:pPr>
      <w:r>
        <w:rPr>
          <w:b/>
        </w:rPr>
        <w:t>可完成实训项目</w:t>
      </w:r>
      <w:r>
        <w:t>：转向系统结构原理与检修、制动系统与 ABS 原理认知与排故、悬架系统结构原理与检修、底盘系统四轮定位联动检测。</w:t>
      </w:r>
    </w:p>
    <w:p>
      <w:pPr>
        <w:pStyle w:val="Heading2"/>
      </w:pPr>
      <w:r>
        <w:t>4.5 全车电器实训台</w:t>
      </w:r>
    </w:p>
    <w:p>
      <w:pPr>
        <w:pStyle w:val="BodyText"/>
      </w:pPr>
      <w:r>
        <w:rPr>
          <w:b/>
        </w:rPr>
        <w:t>产品简介</w:t>
      </w:r>
      <w:r>
        <w:t>：以整车电器系统为基础制作，将启动、充电、灯光、仪表、雨刮等电器部件按原车位置安装，整车主线束裸露展示，用于汽车电气设备结构原理认知与维修实训教学。</w:t>
      </w:r>
    </w:p>
    <w:p>
      <w:pPr>
        <w:pStyle w:val="BodyText"/>
      </w:pPr>
      <w:r>
        <w:rPr>
          <w:b/>
        </w:rPr>
        <w:t>功能特点</w:t>
      </w:r>
      <w:r>
        <w:t>：</w:t>
      </w:r>
    </w:p>
    <w:p>
      <w:pPr>
        <w:pStyle w:val="ListBullet"/>
      </w:pPr>
      <w:r>
        <w:t>覆盖启动系统、充电系统、灯光系统、仪表与报警系统、雨刮与洗涤系统、电动门窗与后视镜等；</w:t>
      </w:r>
    </w:p>
    <w:p>
      <w:pPr>
        <w:pStyle w:val="ListBullet"/>
      </w:pPr>
      <w:r>
        <w:t>采用原车线束布置，各电气部件插头均装并联双插头并标注针脚编号，满足低压信号检测与数据诊断需要；</w:t>
      </w:r>
    </w:p>
    <w:p>
      <w:pPr>
        <w:pStyle w:val="ListBullet"/>
      </w:pPr>
      <w:r>
        <w:t>可适配奥迪、桑塔纳 2000、速腾等轿车车型，并可提供解放 CA125、东风货车等 24V 重卡车型，覆盖轿车与商用车电器教学；</w:t>
      </w:r>
    </w:p>
    <w:p>
      <w:pPr>
        <w:pStyle w:val="ListBullet"/>
      </w:pPr>
      <w:r>
        <w:t>配备智能故障考核系统，功能同 4.2。</w:t>
      </w:r>
    </w:p>
    <w:p>
      <w:pPr>
        <w:pStyle w:val="BodyText"/>
      </w:pPr>
      <w:r>
        <w:rPr>
          <w:b/>
        </w:rPr>
        <w:t>可完成实训项目</w:t>
      </w:r>
      <w:r>
        <w:t>：整车电器系统认知、启动与充电系统检测、灯光与仪表系统检测、线束节点测量、典型电器故障诊断与排除。</w:t>
      </w:r>
    </w:p>
    <w:p>
      <w:pPr>
        <w:pStyle w:val="Heading2"/>
      </w:pPr>
      <w:r>
        <w:t>4.6 汽车空调系统实训台</w:t>
      </w:r>
    </w:p>
    <w:p>
      <w:pPr>
        <w:pStyle w:val="BodyText"/>
      </w:pPr>
      <w:r>
        <w:rPr>
          <w:b/>
        </w:rPr>
        <w:t>产品简介</w:t>
      </w:r>
      <w:r>
        <w:t>：以原车空调系统为基础制作，覆盖制冷系统结构原理认知与维修实训教学。</w:t>
      </w:r>
    </w:p>
    <w:p>
      <w:pPr>
        <w:pStyle w:val="BodyText"/>
      </w:pPr>
      <w:r>
        <w:rPr>
          <w:b/>
        </w:rPr>
        <w:t>功能特点</w:t>
      </w:r>
      <w:r>
        <w:t>：</w:t>
      </w:r>
    </w:p>
    <w:p>
      <w:pPr>
        <w:pStyle w:val="ListBullet"/>
      </w:pPr>
      <w:r>
        <w:t>模块化设计，将压缩机、冷凝器、膨胀阀、蒸发器、鼓风机、控制面板等部件安装固定在专业基座与操作面板上；</w:t>
      </w:r>
    </w:p>
    <w:p>
      <w:pPr>
        <w:pStyle w:val="ListBullet"/>
      </w:pPr>
      <w:r>
        <w:t>保留原车线束连接，并联双插头标注针脚编号，满足低压信号检测与数据诊断需要；</w:t>
      </w:r>
    </w:p>
    <w:p>
      <w:pPr>
        <w:pStyle w:val="ListBullet"/>
      </w:pPr>
      <w:r>
        <w:t>配套制冷剂检漏仪与回收加注机，支持制冷剂回收、抽真空、检漏与定量加注作业训练。</w:t>
      </w:r>
    </w:p>
    <w:p>
      <w:pPr>
        <w:pStyle w:val="BodyText"/>
      </w:pPr>
      <w:r>
        <w:rPr>
          <w:b/>
        </w:rPr>
        <w:t>可完成实训项目</w:t>
      </w:r>
      <w:r>
        <w:t>：空调系统结构原理认知、高低压压力检测、制冷剂回收与加注、检漏作业、空调不制冷等常见故障诊断。</w:t>
      </w:r>
    </w:p>
    <w:p>
      <w:pPr>
        <w:pStyle w:val="Heading2"/>
      </w:pPr>
      <w:r>
        <w:t>4.7 汽车解剖模型与实物示教板</w:t>
      </w:r>
    </w:p>
    <w:p>
      <w:pPr>
        <w:pStyle w:val="BodyText"/>
      </w:pPr>
      <w:r>
        <w:rPr>
          <w:b/>
        </w:rPr>
        <w:t>产品简介</w:t>
      </w:r>
      <w:r>
        <w:t>：以原车零部件为基础制作的发动机、变速器、底盘总成解剖模型（产品线约 35 款）及实物示教板，采用剖切或透明化处理，直观展示内部结构、油路、气路与传动关系。</w:t>
      </w:r>
    </w:p>
    <w:p>
      <w:pPr>
        <w:pStyle w:val="BodyText"/>
      </w:pPr>
      <w:r>
        <w:rPr>
          <w:b/>
        </w:rPr>
        <w:t>功能特点</w:t>
      </w:r>
      <w:r>
        <w:t>：</w:t>
      </w:r>
    </w:p>
    <w:p>
      <w:pPr>
        <w:pStyle w:val="ListBullet"/>
      </w:pPr>
      <w:r>
        <w:t>剖切面着色区分不同零件，内部结构、运动关系与油路气路清晰可见；</w:t>
      </w:r>
    </w:p>
    <w:p>
      <w:pPr>
        <w:pStyle w:val="ListBullet"/>
      </w:pPr>
      <w:r>
        <w:t>模型可手动操作运动部件，演示传动与工作原理；</w:t>
      </w:r>
    </w:p>
    <w:p>
      <w:pPr>
        <w:pStyle w:val="ListBullet"/>
      </w:pPr>
      <w:r>
        <w:t>实物示教板将传感器、执行器、电路节点按系统布置于展板上，便于课堂讲解与认知教学。</w:t>
      </w:r>
    </w:p>
    <w:p>
      <w:pPr>
        <w:pStyle w:val="BodyText"/>
      </w:pPr>
      <w:r>
        <w:rPr>
          <w:b/>
        </w:rPr>
        <w:t>可完成实训项目</w:t>
      </w:r>
      <w:r>
        <w:t>：发动机结构与工作原理认知、变速器传动原理认知、底盘总成结构认知、各系统组成与线路示教。</w:t>
      </w:r>
    </w:p>
    <w:p>
      <w:pPr>
        <w:pStyle w:val="Heading2"/>
      </w:pPr>
      <w:r>
        <w:t>4.8 汽车故障诊断设备（解码器）</w:t>
      </w:r>
    </w:p>
    <w:p>
      <w:pPr>
        <w:pStyle w:val="BodyText"/>
      </w:pPr>
      <w:r>
        <w:rPr>
          <w:b/>
        </w:rPr>
        <w:t>产品简介</w:t>
      </w:r>
      <w:r>
        <w:t>：汽车故障电脑诊断仪（解码器）用于读取与清除故障码、查看数据流、执行动作测试与系统匹配，是整车故障诊断的核心工具。</w:t>
      </w:r>
    </w:p>
    <w:p>
      <w:pPr>
        <w:pStyle w:val="BodyText"/>
      </w:pPr>
      <w:r>
        <w:rPr>
          <w:b/>
        </w:rPr>
        <w:t>功能特点</w:t>
      </w:r>
      <w:r>
        <w:t>：</w:t>
      </w:r>
    </w:p>
    <w:p>
      <w:pPr>
        <w:pStyle w:val="ListBullet"/>
      </w:pPr>
      <w:r>
        <w:t>支持 OBDII 五种协议及主流车型诊断，覆盖亚欧美及国产上万种车型；</w:t>
      </w:r>
    </w:p>
    <w:p>
      <w:pPr>
        <w:pStyle w:val="ListBullet"/>
      </w:pPr>
      <w:r>
        <w:t>提供读码、清码、数据流、动作测试、自适应与特殊功能匹配（如节气门匹配、保养灯归零等）；</w:t>
      </w:r>
    </w:p>
    <w:p>
      <w:pPr>
        <w:pStyle w:val="ListBullet"/>
      </w:pPr>
      <w:r>
        <w:t>支持原厂级维修资料在线查询（电路图、故障分析步骤、故障位置图等）；</w:t>
      </w:r>
    </w:p>
    <w:p>
      <w:pPr>
        <w:pStyle w:val="ListBullet"/>
      </w:pPr>
      <w:r>
        <w:t>支持 Wi-Fi 自动软件升级与诊断报告打印，数据流支持数值/波形多种显示模式。</w:t>
      </w:r>
    </w:p>
    <w:p>
      <w:pPr>
        <w:pStyle w:val="BodyText"/>
      </w:pPr>
      <w:r>
        <w:rPr>
          <w:b/>
        </w:rPr>
        <w:t>可完成实训项目</w:t>
      </w:r>
      <w:r>
        <w:t>：故障码读取与分析、数据流采集与判断、动作测试、系统匹配与初始化操作。</w:t>
      </w:r>
    </w:p>
    <w:p>
      <w:pPr>
        <w:pStyle w:val="Heading2"/>
      </w:pPr>
      <w:r>
        <w:t>4.9 检测与维修仪器仪表</w:t>
      </w:r>
    </w:p>
    <w:p>
      <w:pPr>
        <w:pStyle w:val="BodyText"/>
      </w:pPr>
      <w:r>
        <w:rPr>
          <w:b/>
        </w:rPr>
        <w:t>手持示波器</w:t>
      </w:r>
      <w:r>
        <w:t>：双输入数字示波器与万用表一体，实时采样率 500MS/s，带宽 100MHz，垂直灵敏度 5mV/div-50V/div，支持脉宽、视频、边沿、交替等触发方式，锂电池供电，满足传感器波形与执行器信号测量。</w:t>
      </w:r>
    </w:p>
    <w:p>
      <w:pPr>
        <w:pStyle w:val="BodyText"/>
      </w:pPr>
      <w:r>
        <w:rPr>
          <w:b/>
        </w:rPr>
        <w:t>多功能万用表</w:t>
      </w:r>
      <w:r>
        <w:t>：可测直流电压（DC1000V）、交流电压（AC750V）、电阻、电容、频率、直流/交流电流及二极管、通断，具备数据保持、自动关机与过载保护功能。</w:t>
      </w:r>
    </w:p>
    <w:p>
      <w:pPr>
        <w:pStyle w:val="BodyText"/>
      </w:pPr>
      <w:r>
        <w:rPr>
          <w:b/>
        </w:rPr>
        <w:t>气缸压力表/燃油油压表/真空表</w:t>
      </w:r>
      <w:r>
        <w:t>：用于发动机机械状况、燃油系统压力与进气真空度检测，判断气缸磨损、活塞环与气门密封状况、燃油泵与油路是否正常。</w:t>
      </w:r>
    </w:p>
    <w:p>
      <w:pPr>
        <w:pStyle w:val="BodyText"/>
      </w:pPr>
      <w:r>
        <w:rPr>
          <w:b/>
        </w:rPr>
        <w:t>汽车尾气分析仪</w:t>
      </w:r>
      <w:r>
        <w:t>：用于测量汽油发动机排放废气中的 HC、CO、CO2、O2 及 NO 浓度，可检测使用天然气、液化气、乙醇汽油作燃料的发动机排放，符合国家相关排放检测标准的精度要求，可判断发动机燃烧与排放状况。</w:t>
      </w:r>
    </w:p>
    <w:p>
      <w:pPr>
        <w:pStyle w:val="BodyText"/>
      </w:pPr>
      <w:r>
        <w:rPr>
          <w:b/>
        </w:rPr>
        <w:t>红外测温仪</w:t>
      </w:r>
      <w:r>
        <w:t>：可快速测量温度突变点，用于检查点火线圈、冷却系统、空调与暖风系统、轮胎与制动鼓、轴承等的温度异常。</w:t>
      </w:r>
    </w:p>
    <w:p>
      <w:pPr>
        <w:pStyle w:val="BodyText"/>
      </w:pPr>
      <w:r>
        <w:rPr>
          <w:b/>
        </w:rPr>
        <w:t>蓄电池检测仪</w:t>
      </w:r>
      <w:r>
        <w:t>：快速显示蓄电池内阻、冷启动电流与寿命等性能指标，支持启动电压与充电系统状态检测。</w:t>
      </w:r>
    </w:p>
    <w:p>
      <w:pPr>
        <w:pStyle w:val="BodyText"/>
      </w:pPr>
      <w:r>
        <w:rPr>
          <w:b/>
        </w:rPr>
        <w:t>双柱龙门举升机</w:t>
      </w:r>
      <w:r>
        <w:t>：额定载荷 3500kg，举升高度 100-1880mm，龙门式结构地面直接安装，双边解锁，具备过行程自动断电保护，用于整车举升作业。</w:t>
      </w:r>
    </w:p>
    <w:p>
      <w:pPr>
        <w:pStyle w:val="BodyText"/>
      </w:pPr>
      <w:r>
        <w:rPr>
          <w:b/>
        </w:rPr>
        <w:t>四轮定位仪（3D 三维测量）</w:t>
      </w:r>
      <w:r>
        <w:t>：以车身为基准的三维测量，双照相机结合四个目标盘，无需钢圈补偿，显示精度 0.01° 级，可测量总前束、外倾角、后倾角、内倾角、推力角等参数；配套大剪举升器用于四轮定位工位作业。</w:t>
      </w:r>
    </w:p>
    <w:p>
      <w:pPr>
        <w:pStyle w:val="BodyText"/>
      </w:pPr>
      <w:r>
        <w:rPr>
          <w:b/>
        </w:rPr>
        <w:t>轮胎拆装机/动平衡机</w:t>
      </w:r>
      <w:r>
        <w:t>：用于轮胎拆装、平衡块添加与车轮动平衡检测，具备自校正与故障诊断功能。</w:t>
      </w:r>
    </w:p>
    <w:p>
      <w:pPr>
        <w:pStyle w:val="Heading2"/>
      </w:pPr>
      <w:r>
        <w:t>4.10 工量具与安全防护</w:t>
      </w:r>
    </w:p>
    <w:p>
      <w:pPr>
        <w:pStyle w:val="BodyText"/>
      </w:pPr>
      <w:r>
        <w:rPr>
          <w:b/>
        </w:rPr>
        <w:t>拆装工量具</w:t>
      </w:r>
      <w:r>
        <w:t>：121 件套综合工具，覆盖 6.3MM、10MM、12.5MM 系列套筒、花形套筒、火花塞套筒、旋具套筒、棘轮扳手、万向接头、转向接杆、全抛光两用扳手、内六角扳手、螺丝批、滤清器扳手等；配套气动工具（与拆装用发动机配套）、7 抽屉多功能工具车与拆装专用工作台。</w:t>
      </w:r>
    </w:p>
    <w:p>
      <w:pPr>
        <w:pStyle w:val="BodyText"/>
      </w:pPr>
      <w:r>
        <w:rPr>
          <w:b/>
        </w:rPr>
        <w:t>吊装与举升工具</w:t>
      </w:r>
      <w:r>
        <w:t>：发动机吊架（液压手动 0.5-2t）、变速箱举升器（举升高度≥1700mm，0.5T）、卧式千斤顶（≥3t），满足总成吊装与举升作业。</w:t>
      </w:r>
    </w:p>
    <w:p>
      <w:pPr>
        <w:pStyle w:val="BodyText"/>
      </w:pPr>
      <w:r>
        <w:rPr>
          <w:b/>
        </w:rPr>
        <w:t>防护套装</w:t>
      </w:r>
      <w:r>
        <w:t>：包含绝缘服、绝缘手套、耐磨手套、绝缘鞋、护目镜、安全帽等；绝缘手套天然橡胶制成，耐压等级 1KV；绝缘鞋防砸电绝缘、防滑防液体飞溅；护目镜防冲击物、化学物与光热辐射。</w:t>
      </w:r>
    </w:p>
    <w:p>
      <w:pPr>
        <w:pStyle w:val="BodyText"/>
      </w:pPr>
      <w:r>
        <w:rPr>
          <w:b/>
        </w:rPr>
        <w:t>气源系统</w:t>
      </w:r>
      <w:r>
        <w:t>：螺杆式空压机（排气量 1.1m³/min，电机功率 7.5KW）配套储气罐、冷冻式干燥机、精密过滤器与气路管道，为气动工具与设备提供稳定气源。</w:t>
      </w:r>
    </w:p>
    <w:p>
      <w:pPr>
        <w:pStyle w:val="Heading1"/>
      </w:pPr>
      <w:r>
        <w:t>五、可开展实训项目与课程对接</w:t>
      </w:r>
    </w:p>
    <w:p>
      <w:pPr>
        <w:pStyle w:val="Heading2"/>
      </w:pPr>
      <w:r>
        <w:t>5.1 实训项目总览</w:t>
      </w:r>
    </w:p>
    <w:tbl>
      <w:tblPr>
        <w:tblStyle w:val="TableGrid"/>
        <w:tblW w:type="auto" w:w="0"/>
        <w:jc w:val="center"/>
        <w:tblLook w:firstColumn="1" w:firstRow="1" w:lastColumn="0" w:lastRow="0" w:noHBand="0" w:noVBand="1" w:val="04A0"/>
      </w:tblPr>
      <w:tblGrid>
        <w:gridCol w:w="3024"/>
        <w:gridCol w:w="3024"/>
        <w:gridCol w:w="3024"/>
      </w:tblGrid>
      <w:tr>
        <w:trPr>
          <w:tblHeader w:val="true"/>
        </w:trPr>
        <w:tc>
          <w:tcPr>
            <w:tcW w:type="dxa" w:w="3024"/>
            <w:shd w:val="clear" w:color="auto" w:fill="D9E2F3"/>
            <w:vAlign w:val="center"/>
          </w:tcPr>
          <w:p>
            <w:pPr>
              <w:spacing w:before="0" w:after="0" w:line="240" w:lineRule="auto"/>
              <w:ind w:firstLine="0" w:left="0" w:right="0"/>
              <w:jc w:val="center"/>
            </w:pPr>
            <w:r>
              <w:rPr>
                <w:b/>
                <w:color w:val="1F4E79"/>
              </w:rPr>
            </w:r>
            <w:r>
              <w:rPr>
                <w:b/>
                <w:color w:val="1F4E79"/>
              </w:rPr>
              <w:t>实训模块</w:t>
            </w:r>
          </w:p>
        </w:tc>
        <w:tc>
          <w:tcPr>
            <w:tcW w:type="dxa" w:w="3024"/>
            <w:shd w:val="clear" w:color="auto" w:fill="D9E2F3"/>
            <w:vAlign w:val="center"/>
          </w:tcPr>
          <w:p>
            <w:pPr>
              <w:spacing w:before="0" w:after="0" w:line="240" w:lineRule="auto"/>
              <w:ind w:firstLine="0" w:left="0" w:right="0"/>
              <w:jc w:val="center"/>
            </w:pPr>
            <w:r>
              <w:rPr>
                <w:b/>
                <w:color w:val="1F4E79"/>
              </w:rPr>
            </w:r>
            <w:r>
              <w:rPr>
                <w:b/>
                <w:color w:val="1F4E79"/>
              </w:rPr>
              <w:t>主要实训项目</w:t>
            </w:r>
          </w:p>
        </w:tc>
        <w:tc>
          <w:tcPr>
            <w:tcW w:type="dxa" w:w="3024"/>
            <w:shd w:val="clear" w:color="auto" w:fill="D9E2F3"/>
            <w:vAlign w:val="center"/>
          </w:tcPr>
          <w:p>
            <w:pPr>
              <w:spacing w:before="0" w:after="0" w:line="240" w:lineRule="auto"/>
              <w:ind w:firstLine="0" w:left="0" w:right="0"/>
              <w:jc w:val="center"/>
            </w:pPr>
            <w:r>
              <w:rPr>
                <w:b/>
                <w:color w:val="1F4E79"/>
              </w:rPr>
            </w:r>
            <w:r>
              <w:rPr>
                <w:b/>
                <w:color w:val="1F4E79"/>
              </w:rPr>
              <w:t>对应设备</w:t>
            </w:r>
          </w:p>
        </w:tc>
      </w:tr>
      <w:tr>
        <w:tc>
          <w:tcPr>
            <w:tcW w:type="dxa" w:w="3024"/>
            <w:vAlign w:val="center"/>
          </w:tcPr>
          <w:p>
            <w:pPr>
              <w:spacing w:before="0" w:after="0" w:line="240" w:lineRule="auto"/>
              <w:ind w:firstLine="0" w:left="0" w:right="0"/>
              <w:jc w:val="center"/>
            </w:pPr>
            <w:r/>
            <w:r>
              <w:t>发动机构造与拆装</w:t>
            </w:r>
          </w:p>
        </w:tc>
        <w:tc>
          <w:tcPr>
            <w:tcW w:type="dxa" w:w="3024"/>
            <w:vAlign w:val="center"/>
          </w:tcPr>
          <w:p>
            <w:pPr>
              <w:spacing w:before="0" w:after="0" w:line="240" w:lineRule="auto"/>
              <w:ind w:firstLine="0" w:left="0" w:right="0"/>
              <w:jc w:val="center"/>
            </w:pPr>
            <w:r/>
            <w:r>
              <w:t>发动机总成拆装、缸盖缸体分解、正时校对、运行演示</w:t>
            </w:r>
          </w:p>
        </w:tc>
        <w:tc>
          <w:tcPr>
            <w:tcW w:type="dxa" w:w="3024"/>
            <w:vAlign w:val="center"/>
          </w:tcPr>
          <w:p>
            <w:pPr>
              <w:spacing w:before="0" w:after="0" w:line="240" w:lineRule="auto"/>
              <w:ind w:firstLine="0" w:left="0" w:right="0"/>
              <w:jc w:val="center"/>
            </w:pPr>
            <w:r/>
            <w:r>
              <w:t>发动机拆装运行台、发动机吊架、拆装专用工作台</w:t>
            </w:r>
          </w:p>
        </w:tc>
      </w:tr>
      <w:tr>
        <w:tc>
          <w:tcPr>
            <w:tcW w:type="dxa" w:w="3024"/>
            <w:vAlign w:val="center"/>
          </w:tcPr>
          <w:p>
            <w:pPr>
              <w:spacing w:before="0" w:after="0" w:line="240" w:lineRule="auto"/>
              <w:ind w:firstLine="0" w:left="0" w:right="0"/>
              <w:jc w:val="center"/>
            </w:pPr>
            <w:r/>
            <w:r>
              <w:t>发动机电控系统</w:t>
            </w:r>
          </w:p>
        </w:tc>
        <w:tc>
          <w:tcPr>
            <w:tcW w:type="dxa" w:w="3024"/>
            <w:vAlign w:val="center"/>
          </w:tcPr>
          <w:p>
            <w:pPr>
              <w:spacing w:before="0" w:after="0" w:line="240" w:lineRule="auto"/>
              <w:ind w:firstLine="0" w:left="0" w:right="0"/>
              <w:jc w:val="center"/>
            </w:pPr>
            <w:r/>
            <w:r>
              <w:t>电控系统认知、传感器与执行器检测、数据流分析、故障诊断</w:t>
            </w:r>
          </w:p>
        </w:tc>
        <w:tc>
          <w:tcPr>
            <w:tcW w:type="dxa" w:w="3024"/>
            <w:vAlign w:val="center"/>
          </w:tcPr>
          <w:p>
            <w:pPr>
              <w:spacing w:before="0" w:after="0" w:line="240" w:lineRule="auto"/>
              <w:ind w:firstLine="0" w:left="0" w:right="0"/>
              <w:jc w:val="center"/>
            </w:pPr>
            <w:r/>
            <w:r>
              <w:t>电控发动机实训台、传感器执行器实训台、示教板</w:t>
            </w:r>
          </w:p>
        </w:tc>
      </w:tr>
      <w:tr>
        <w:tc>
          <w:tcPr>
            <w:tcW w:type="dxa" w:w="3024"/>
            <w:vAlign w:val="center"/>
          </w:tcPr>
          <w:p>
            <w:pPr>
              <w:spacing w:before="0" w:after="0" w:line="240" w:lineRule="auto"/>
              <w:ind w:firstLine="0" w:left="0" w:right="0"/>
              <w:jc w:val="center"/>
            </w:pPr>
            <w:r/>
            <w:r>
              <w:t>变速器系统</w:t>
            </w:r>
          </w:p>
        </w:tc>
        <w:tc>
          <w:tcPr>
            <w:tcW w:type="dxa" w:w="3024"/>
            <w:vAlign w:val="center"/>
          </w:tcPr>
          <w:p>
            <w:pPr>
              <w:spacing w:before="0" w:after="0" w:line="240" w:lineRule="auto"/>
              <w:ind w:firstLine="0" w:left="0" w:right="0"/>
              <w:jc w:val="center"/>
            </w:pPr>
            <w:r/>
            <w:r>
              <w:t>手动变速器拆装、自动变速器结构原理与检修</w:t>
            </w:r>
          </w:p>
        </w:tc>
        <w:tc>
          <w:tcPr>
            <w:tcW w:type="dxa" w:w="3024"/>
            <w:vAlign w:val="center"/>
          </w:tcPr>
          <w:p>
            <w:pPr>
              <w:spacing w:before="0" w:after="0" w:line="240" w:lineRule="auto"/>
              <w:ind w:firstLine="0" w:left="0" w:right="0"/>
              <w:jc w:val="center"/>
            </w:pPr>
            <w:r/>
            <w:r>
              <w:t>手动变速器拆装台、自动变速器实训台、解剖模型</w:t>
            </w:r>
          </w:p>
        </w:tc>
      </w:tr>
      <w:tr>
        <w:tc>
          <w:tcPr>
            <w:tcW w:type="dxa" w:w="3024"/>
            <w:vAlign w:val="center"/>
          </w:tcPr>
          <w:p>
            <w:pPr>
              <w:spacing w:before="0" w:after="0" w:line="240" w:lineRule="auto"/>
              <w:ind w:firstLine="0" w:left="0" w:right="0"/>
              <w:jc w:val="center"/>
            </w:pPr>
            <w:r/>
            <w:r>
              <w:t>底盘系统</w:t>
            </w:r>
          </w:p>
        </w:tc>
        <w:tc>
          <w:tcPr>
            <w:tcW w:type="dxa" w:w="3024"/>
            <w:vAlign w:val="center"/>
          </w:tcPr>
          <w:p>
            <w:pPr>
              <w:spacing w:before="0" w:after="0" w:line="240" w:lineRule="auto"/>
              <w:ind w:firstLine="0" w:left="0" w:right="0"/>
              <w:jc w:val="center"/>
            </w:pPr>
            <w:r/>
            <w:r>
              <w:t>转向系统检修、制动（ABS）系统原理与排故、悬架系统检修</w:t>
            </w:r>
          </w:p>
        </w:tc>
        <w:tc>
          <w:tcPr>
            <w:tcW w:type="dxa" w:w="3024"/>
            <w:vAlign w:val="center"/>
          </w:tcPr>
          <w:p>
            <w:pPr>
              <w:spacing w:before="0" w:after="0" w:line="240" w:lineRule="auto"/>
              <w:ind w:firstLine="0" w:left="0" w:right="0"/>
              <w:jc w:val="center"/>
            </w:pPr>
            <w:r/>
            <w:r>
              <w:t>转向/制动/悬架系统实训台</w:t>
            </w:r>
          </w:p>
        </w:tc>
      </w:tr>
      <w:tr>
        <w:tc>
          <w:tcPr>
            <w:tcW w:type="dxa" w:w="3024"/>
            <w:vAlign w:val="center"/>
          </w:tcPr>
          <w:p>
            <w:pPr>
              <w:spacing w:before="0" w:after="0" w:line="240" w:lineRule="auto"/>
              <w:ind w:firstLine="0" w:left="0" w:right="0"/>
              <w:jc w:val="center"/>
            </w:pPr>
            <w:r/>
            <w:r>
              <w:t>汽车电气系统</w:t>
            </w:r>
          </w:p>
        </w:tc>
        <w:tc>
          <w:tcPr>
            <w:tcW w:type="dxa" w:w="3024"/>
            <w:vAlign w:val="center"/>
          </w:tcPr>
          <w:p>
            <w:pPr>
              <w:spacing w:before="0" w:after="0" w:line="240" w:lineRule="auto"/>
              <w:ind w:firstLine="0" w:left="0" w:right="0"/>
              <w:jc w:val="center"/>
            </w:pPr>
            <w:r/>
            <w:r>
              <w:t>启动充电系统检测、灯光仪表系统检测、线束节点测量</w:t>
            </w:r>
          </w:p>
        </w:tc>
        <w:tc>
          <w:tcPr>
            <w:tcW w:type="dxa" w:w="3024"/>
            <w:vAlign w:val="center"/>
          </w:tcPr>
          <w:p>
            <w:pPr>
              <w:spacing w:before="0" w:after="0" w:line="240" w:lineRule="auto"/>
              <w:ind w:firstLine="0" w:left="0" w:right="0"/>
              <w:jc w:val="center"/>
            </w:pPr>
            <w:r/>
            <w:r>
              <w:t>全车电器实训台、车身电器示教板</w:t>
            </w:r>
          </w:p>
        </w:tc>
      </w:tr>
      <w:tr>
        <w:tc>
          <w:tcPr>
            <w:tcW w:type="dxa" w:w="3024"/>
            <w:vAlign w:val="center"/>
          </w:tcPr>
          <w:p>
            <w:pPr>
              <w:spacing w:before="0" w:after="0" w:line="240" w:lineRule="auto"/>
              <w:ind w:firstLine="0" w:left="0" w:right="0"/>
              <w:jc w:val="center"/>
            </w:pPr>
            <w:r/>
            <w:r>
              <w:t>空调系统</w:t>
            </w:r>
          </w:p>
        </w:tc>
        <w:tc>
          <w:tcPr>
            <w:tcW w:type="dxa" w:w="3024"/>
            <w:vAlign w:val="center"/>
          </w:tcPr>
          <w:p>
            <w:pPr>
              <w:spacing w:before="0" w:after="0" w:line="240" w:lineRule="auto"/>
              <w:ind w:firstLine="0" w:left="0" w:right="0"/>
              <w:jc w:val="center"/>
            </w:pPr>
            <w:r/>
            <w:r>
              <w:t>空调原理认知、压力检测、制冷剂回收加注、检漏</w:t>
            </w:r>
          </w:p>
        </w:tc>
        <w:tc>
          <w:tcPr>
            <w:tcW w:type="dxa" w:w="3024"/>
            <w:vAlign w:val="center"/>
          </w:tcPr>
          <w:p>
            <w:pPr>
              <w:spacing w:before="0" w:after="0" w:line="240" w:lineRule="auto"/>
              <w:ind w:firstLine="0" w:left="0" w:right="0"/>
              <w:jc w:val="center"/>
            </w:pPr>
            <w:r/>
            <w:r>
              <w:t>汽车空调系统实训台、制冷剂回收加注机、检漏仪</w:t>
            </w:r>
          </w:p>
        </w:tc>
      </w:tr>
      <w:tr>
        <w:tc>
          <w:tcPr>
            <w:tcW w:type="dxa" w:w="3024"/>
            <w:vAlign w:val="center"/>
          </w:tcPr>
          <w:p>
            <w:pPr>
              <w:spacing w:before="0" w:after="0" w:line="240" w:lineRule="auto"/>
              <w:ind w:firstLine="0" w:left="0" w:right="0"/>
              <w:jc w:val="center"/>
            </w:pPr>
            <w:r/>
            <w:r>
              <w:t>整车构造认知</w:t>
            </w:r>
          </w:p>
        </w:tc>
        <w:tc>
          <w:tcPr>
            <w:tcW w:type="dxa" w:w="3024"/>
            <w:vAlign w:val="center"/>
          </w:tcPr>
          <w:p>
            <w:pPr>
              <w:spacing w:before="0" w:after="0" w:line="240" w:lineRule="auto"/>
              <w:ind w:firstLine="0" w:left="0" w:right="0"/>
              <w:jc w:val="center"/>
            </w:pPr>
            <w:r/>
            <w:r>
              <w:t>结构与原理认知、系统组成与线路示教</w:t>
            </w:r>
          </w:p>
        </w:tc>
        <w:tc>
          <w:tcPr>
            <w:tcW w:type="dxa" w:w="3024"/>
            <w:vAlign w:val="center"/>
          </w:tcPr>
          <w:p>
            <w:pPr>
              <w:spacing w:before="0" w:after="0" w:line="240" w:lineRule="auto"/>
              <w:ind w:firstLine="0" w:left="0" w:right="0"/>
              <w:jc w:val="center"/>
            </w:pPr>
            <w:r/>
            <w:r>
              <w:t>汽车解剖模型、实物示教板、教学挂图</w:t>
            </w:r>
          </w:p>
        </w:tc>
      </w:tr>
      <w:tr>
        <w:tc>
          <w:tcPr>
            <w:tcW w:type="dxa" w:w="3024"/>
            <w:vAlign w:val="center"/>
          </w:tcPr>
          <w:p>
            <w:pPr>
              <w:spacing w:before="0" w:after="0" w:line="240" w:lineRule="auto"/>
              <w:ind w:firstLine="0" w:left="0" w:right="0"/>
              <w:jc w:val="center"/>
            </w:pPr>
            <w:r/>
            <w:r>
              <w:t>整车故障诊断</w:t>
            </w:r>
          </w:p>
        </w:tc>
        <w:tc>
          <w:tcPr>
            <w:tcW w:type="dxa" w:w="3024"/>
            <w:vAlign w:val="center"/>
          </w:tcPr>
          <w:p>
            <w:pPr>
              <w:spacing w:before="0" w:after="0" w:line="240" w:lineRule="auto"/>
              <w:ind w:firstLine="0" w:left="0" w:right="0"/>
              <w:jc w:val="center"/>
            </w:pPr>
            <w:r/>
            <w:r>
              <w:t>故障码读取、数据流分析、常见故障排除、排放检测</w:t>
            </w:r>
          </w:p>
        </w:tc>
        <w:tc>
          <w:tcPr>
            <w:tcW w:type="dxa" w:w="3024"/>
            <w:vAlign w:val="center"/>
          </w:tcPr>
          <w:p>
            <w:pPr>
              <w:spacing w:before="0" w:after="0" w:line="240" w:lineRule="auto"/>
              <w:ind w:firstLine="0" w:left="0" w:right="0"/>
              <w:jc w:val="center"/>
            </w:pPr>
            <w:r/>
            <w:r>
              <w:t>解码器、示波器、万用表、尾气分析仪</w:t>
            </w:r>
          </w:p>
        </w:tc>
      </w:tr>
      <w:tr>
        <w:tc>
          <w:tcPr>
            <w:tcW w:type="dxa" w:w="3024"/>
            <w:vAlign w:val="center"/>
          </w:tcPr>
          <w:p>
            <w:pPr>
              <w:spacing w:before="0" w:after="0" w:line="240" w:lineRule="auto"/>
              <w:ind w:firstLine="0" w:left="0" w:right="0"/>
              <w:jc w:val="center"/>
            </w:pPr>
            <w:r/>
            <w:r>
              <w:t>整车作业与定位</w:t>
            </w:r>
          </w:p>
        </w:tc>
        <w:tc>
          <w:tcPr>
            <w:tcW w:type="dxa" w:w="3024"/>
            <w:vAlign w:val="center"/>
          </w:tcPr>
          <w:p>
            <w:pPr>
              <w:spacing w:before="0" w:after="0" w:line="240" w:lineRule="auto"/>
              <w:ind w:firstLine="0" w:left="0" w:right="0"/>
              <w:jc w:val="center"/>
            </w:pPr>
            <w:r/>
            <w:r>
              <w:t>整车举升、四轮定位检测调整、轮胎拆装与动平衡</w:t>
            </w:r>
          </w:p>
        </w:tc>
        <w:tc>
          <w:tcPr>
            <w:tcW w:type="dxa" w:w="3024"/>
            <w:vAlign w:val="center"/>
          </w:tcPr>
          <w:p>
            <w:pPr>
              <w:spacing w:before="0" w:after="0" w:line="240" w:lineRule="auto"/>
              <w:ind w:firstLine="0" w:left="0" w:right="0"/>
              <w:jc w:val="center"/>
            </w:pPr>
            <w:r/>
            <w:r>
              <w:t>举升机、四轮定位仪及大剪举升器、轮胎设备</w:t>
            </w:r>
          </w:p>
        </w:tc>
      </w:tr>
      <w:tr>
        <w:tc>
          <w:tcPr>
            <w:tcW w:type="dxa" w:w="3024"/>
            <w:vAlign w:val="center"/>
          </w:tcPr>
          <w:p>
            <w:pPr>
              <w:spacing w:before="0" w:after="0" w:line="240" w:lineRule="auto"/>
              <w:ind w:firstLine="0" w:left="0" w:right="0"/>
              <w:jc w:val="center"/>
            </w:pPr>
            <w:r/>
            <w:r>
              <w:t>安全与规范作业</w:t>
            </w:r>
          </w:p>
        </w:tc>
        <w:tc>
          <w:tcPr>
            <w:tcW w:type="dxa" w:w="3024"/>
            <w:vAlign w:val="center"/>
          </w:tcPr>
          <w:p>
            <w:pPr>
              <w:spacing w:before="0" w:after="0" w:line="240" w:lineRule="auto"/>
              <w:ind w:firstLine="0" w:left="0" w:right="0"/>
              <w:jc w:val="center"/>
            </w:pPr>
            <w:r/>
            <w:r>
              <w:t>安全防护、规范作业流程、工具使用与维护</w:t>
            </w:r>
          </w:p>
        </w:tc>
        <w:tc>
          <w:tcPr>
            <w:tcW w:type="dxa" w:w="3024"/>
            <w:vAlign w:val="center"/>
          </w:tcPr>
          <w:p>
            <w:pPr>
              <w:spacing w:before="0" w:after="0" w:line="240" w:lineRule="auto"/>
              <w:ind w:firstLine="0" w:left="0" w:right="0"/>
              <w:jc w:val="center"/>
            </w:pPr>
            <w:r/>
            <w:r>
              <w:t>防护套装、工量具、气源系统</w:t>
            </w:r>
          </w:p>
        </w:tc>
      </w:tr>
    </w:tbl>
    <w:p>
      <w:pPr>
        <w:pStyle w:val="Heading2"/>
      </w:pPr>
      <w:r>
        <w:t>5.2 课程体系对接</w:t>
      </w:r>
    </w:p>
    <w:p>
      <w:pPr>
        <w:pStyle w:val="ListBullet"/>
      </w:pPr>
      <w:r>
        <w:t>汽车发动机构造与维修课程：依托发动机拆装运行台、电控发动机实训台开展认知与拆装教学；</w:t>
      </w:r>
    </w:p>
    <w:p>
      <w:pPr>
        <w:pStyle w:val="ListBullet"/>
      </w:pPr>
      <w:r>
        <w:t>汽车底盘构造与维修课程：依托转向、制动（ABS）、悬架系统实训台开展教学；</w:t>
      </w:r>
    </w:p>
    <w:p>
      <w:pPr>
        <w:pStyle w:val="ListBullet"/>
      </w:pPr>
      <w:r>
        <w:t>汽车电气设备构造与维修课程：依托全车电器实训台、实物示教板开展教学；</w:t>
      </w:r>
    </w:p>
    <w:p>
      <w:pPr>
        <w:pStyle w:val="ListBullet"/>
      </w:pPr>
      <w:r>
        <w:t>汽车电控系统检修课程：依托电控发动机实训台、传感器执行器实训台及解码器开展教学；</w:t>
      </w:r>
    </w:p>
    <w:p>
      <w:pPr>
        <w:pStyle w:val="ListBullet"/>
      </w:pPr>
      <w:r>
        <w:t>汽车空调系统检修课程：依托汽车空调系统实训台及制冷剂回收加注设备开展教学；</w:t>
      </w:r>
    </w:p>
    <w:p>
      <w:pPr>
        <w:pStyle w:val="ListBullet"/>
      </w:pPr>
      <w:r>
        <w:t>汽车故障诊断与排除课程：依托解码器、示波器、万用表、尾气分析仪及故障考核系统开展教学；</w:t>
      </w:r>
    </w:p>
    <w:p>
      <w:pPr>
        <w:pStyle w:val="ListBullet"/>
      </w:pPr>
      <w:r>
        <w:t>汽车结构与拆装实训课程：依托解剖模型、发动机与变速器拆装设备开展教学。</w:t>
      </w:r>
    </w:p>
    <w:p>
      <w:pPr>
        <w:pStyle w:val="Heading2"/>
      </w:pPr>
      <w:r>
        <w:t>5.3 赛证融通</w:t>
      </w:r>
    </w:p>
    <w:p>
      <w:pPr>
        <w:pStyle w:val="BodyText"/>
      </w:pPr>
      <w:r>
        <w:t>本方案设备配置与实训项目可支撑汽车维修工国家职业技能标准的技能训练与鉴定，同时覆盖"1+X"汽车运用与维修职业技能等级证书考核项目及全国职业院校技能大赛汽车技术赛项相关的发动机拆装、底盘检修、电器检测、故障诊断等核心技能点训练，实现"以赛促教、以赛促学、课证融通"。</w:t>
      </w:r>
    </w:p>
    <w:p>
      <w:pPr>
        <w:pStyle w:val="Heading1"/>
      </w:pPr>
      <w:r>
        <w:t>六、场地、环境与安全要求</w:t>
      </w:r>
    </w:p>
    <w:p>
      <w:pPr>
        <w:pStyle w:val="Heading2"/>
      </w:pPr>
      <w:r>
        <w:t>6.1 场地与布局</w:t>
      </w:r>
    </w:p>
    <w:p>
      <w:pPr>
        <w:pStyle w:val="BodyText"/>
      </w:pPr>
      <w:r>
        <w:t>建议实训室净面积不低于 200 平方米（可根据设备台数与工位数调整），按教学区、实训区与检测诊断区进行分区布局，设备间保持安全操作间距。整车举升与四轮定位工位需预留足够的通行与作业空间，并满足举升设备的基础承载要求。设备到场后由厂家技术人员协助完成场地规划与布局指导。</w:t>
      </w:r>
    </w:p>
    <w:p>
      <w:pPr>
        <w:pStyle w:val="Heading2"/>
      </w:pPr>
      <w:r>
        <w:t>6.2 供电与环境要求</w:t>
      </w:r>
    </w:p>
    <w:p>
      <w:pPr>
        <w:pStyle w:val="ListBullet"/>
      </w:pPr>
      <w:r>
        <w:t>供电：AC220V/50Hz，举升机、空压机等大功率设备按产品规格预留三相电源与相应功率容量；</w:t>
      </w:r>
    </w:p>
    <w:p>
      <w:pPr>
        <w:pStyle w:val="ListBullet"/>
      </w:pPr>
      <w:r>
        <w:t>接地：实训室需具备可靠的保护接地系统，空调、举升、检测等区域单独设置接地端子；</w:t>
      </w:r>
    </w:p>
    <w:p>
      <w:pPr>
        <w:pStyle w:val="ListBullet"/>
      </w:pPr>
      <w:r>
        <w:t>气源：气动工具与举升设备需接入稳定气源，配置干燥与过滤装置，管路布置规范；</w:t>
      </w:r>
    </w:p>
    <w:p>
      <w:pPr>
        <w:pStyle w:val="ListBullet"/>
      </w:pPr>
      <w:r>
        <w:t>环境：具备良好照明与通风条件，钣喷、排放检测等区域应配置强制排风与废油废液收集装置，重要区域配灭火器材（干粉/CO2 灭火器）。</w:t>
      </w:r>
    </w:p>
    <w:p>
      <w:pPr>
        <w:pStyle w:val="Heading2"/>
      </w:pPr>
      <w:r>
        <w:t>6.3 安全防护体系</w:t>
      </w:r>
    </w:p>
    <w:p>
      <w:pPr>
        <w:pStyle w:val="ListBullet"/>
      </w:pPr>
      <w:r>
        <w:t>作业防护：实训必须穿戴绝缘手套、绝缘鞋、护目镜等防护装备，落实"断电—验电—挂牌—作业"及举升作业安全规程；</w:t>
      </w:r>
    </w:p>
    <w:p>
      <w:pPr>
        <w:pStyle w:val="ListBullet"/>
      </w:pPr>
      <w:r>
        <w:t>教学管理：高危实训项目实行教师全程监督制度，明确举升、焊接、气源等区域准入规则；</w:t>
      </w:r>
    </w:p>
    <w:p>
      <w:pPr>
        <w:pStyle w:val="ListBullet"/>
      </w:pPr>
      <w:r>
        <w:t>设备安全：实训平台设计安全标识与急停措施，举升设备具备过行程保护，电气设备具备漏电保护；</w:t>
      </w:r>
    </w:p>
    <w:p>
      <w:pPr>
        <w:pStyle w:val="ListBullet"/>
      </w:pPr>
      <w:r>
        <w:t>应急预案：制定触电、机械伤害、火灾等应急处置流程并定期演练。</w:t>
      </w:r>
    </w:p>
    <w:p>
      <w:pPr>
        <w:pStyle w:val="Heading1"/>
      </w:pPr>
      <w:r>
        <w:t>七、项目实施计划</w:t>
      </w:r>
    </w:p>
    <w:p>
      <w:pPr>
        <w:pStyle w:val="Heading2"/>
      </w:pPr>
      <w:r>
        <w:t>7.1 供货与交付</w:t>
      </w:r>
    </w:p>
    <w:p>
      <w:pPr>
        <w:pStyle w:val="BodyText"/>
      </w:pPr>
      <w:r>
        <w:t>合同签订后按约定周期完成生产备货与发货，物流运输采用防震加固包装，附装箱清单及随箱技术资料（产品说明书、合格证、保修卡等）。</w:t>
      </w:r>
    </w:p>
    <w:p>
      <w:pPr>
        <w:pStyle w:val="Heading2"/>
      </w:pPr>
      <w:r>
        <w:t>7.2 安装调试与验收</w:t>
      </w:r>
    </w:p>
    <w:p>
      <w:pPr>
        <w:pStyle w:val="BodyText"/>
      </w:pPr>
      <w:r>
        <w:t>设备到校后由厂家专业工程师完成开箱验收、安装调试与功能测试，并对校方进行现场演示；举升、气源等大型设备同步完成基础检查与安全测试。验收按技术参数及功能要求逐项核对，验收合格后双方签署验收报告。</w:t>
      </w:r>
    </w:p>
    <w:p>
      <w:pPr>
        <w:pStyle w:val="Heading2"/>
      </w:pPr>
      <w:r>
        <w:t>7.3 师资培训与教学支持</w:t>
      </w:r>
    </w:p>
    <w:p>
      <w:pPr>
        <w:pStyle w:val="BodyText"/>
      </w:pPr>
      <w:r>
        <w:t>免费提供不少于一个工作日的基础操作与维护培训，内容包括设备操作规范、软件使用、故障考核系统设置与教学应用；提供教学指导软件、操作视频、维修手册及实训指导书等配套资源，支持校方开展常态化教学。</w:t>
      </w:r>
    </w:p>
    <w:p>
      <w:pPr>
        <w:pStyle w:val="Heading1"/>
      </w:pPr>
      <w:r>
        <w:t>八、售后服务与质量保证</w:t>
      </w:r>
    </w:p>
    <w:p>
      <w:pPr>
        <w:pStyle w:val="ListBullet"/>
      </w:pPr>
      <w:r>
        <w:t>质保期：设备整机质保一年，质保期内因非人为损坏出现的质量问题免费维修或更换；</w:t>
      </w:r>
    </w:p>
    <w:p>
      <w:pPr>
        <w:pStyle w:val="ListBullet"/>
      </w:pPr>
      <w:r>
        <w:t>响应时效：接到服务请求后远程支持即时响应，需要上门时按约定时间 48 小时内到场；</w:t>
      </w:r>
    </w:p>
    <w:p>
      <w:pPr>
        <w:pStyle w:val="ListBullet"/>
      </w:pPr>
      <w:r>
        <w:t>软件升级：仿真教学软件与考核系统提供同版本免费升级服务；</w:t>
      </w:r>
    </w:p>
    <w:p>
      <w:pPr>
        <w:pStyle w:val="ListBullet"/>
      </w:pPr>
      <w:r>
        <w:t>技术支持：建立长期技术支持通道，提供操作咨询、维护保养指导及备件供应；</w:t>
      </w:r>
    </w:p>
    <w:p>
      <w:pPr>
        <w:pStyle w:val="ListBullet"/>
      </w:pPr>
      <w:r>
        <w:t>额外服务：根据校方需要可提供实训室规划优化、赛项训练辅导、课程资源共建等延伸服务。</w:t>
      </w:r>
    </w:p>
    <w:p>
      <w:pPr>
        <w:pStyle w:val="Heading1"/>
      </w:pPr>
      <w:r>
        <w:t>九、价格与商务说明</w:t>
      </w:r>
    </w:p>
    <w:p>
      <w:pPr>
        <w:pStyle w:val="ListBullet"/>
      </w:pPr>
      <w:r>
        <w:t>设备清单所列各设备价格与合计金额以正式商务报价单为准，支持按预算与场地条件增删配置；</w:t>
      </w:r>
    </w:p>
    <w:p>
      <w:pPr>
        <w:pStyle w:val="ListBullet"/>
      </w:pPr>
      <w:r>
        <w:t>报价一般包含设备费、包装运输费、安装调试费与基础培训费，具体以商务协议为准；</w:t>
      </w:r>
    </w:p>
    <w:p>
      <w:pPr>
        <w:pStyle w:val="ListBullet"/>
      </w:pPr>
      <w:r>
        <w:t>支持政府采购、招投标、院校合同等合规采购流程，可提供厂家资质、检测报告及相关证明材料。</w:t>
      </w:r>
    </w:p>
    <w:sectPr w:rsidR="00FC693F" w:rsidRPr="0006063C" w:rsidSect="00034616">
      <w:pgSz w:w="11906" w:h="16838"/>
      <w:pgMar w:top="1417" w:right="1417" w:bottom="1134" w:left="1417" w:header="720" w:footer="720" w:gutter="0"/>
      <w:cols w:space="720" w:num="1"/>
      <w:vAlign w:val="top"/>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Arial" w:hAnsi="Arial" w:eastAsia="宋体"/>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84" w:lineRule="auto" w:after="135"/>
      <w:ind w:firstLine="360"/>
    </w:pPr>
    <w:rPr>
      <w:rFonts w:ascii="Arial" w:hAnsi="Arial" w:eastAsia="宋体"/>
      <w:color w:val="252525"/>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80" w:after="0"/>
      <w:ind w:firstLine="0"/>
      <w:jc w:val="center"/>
      <w:outlineLvl w:val="0"/>
    </w:pPr>
    <w:rPr>
      <w:rFonts w:cstheme="majorBidi" w:ascii="Arial" w:hAnsi="Arial" w:eastAsia="黑体"/>
      <w:b/>
      <w:bCs/>
      <w:color w:val="1F4E79"/>
      <w:sz w:val="40"/>
      <w:szCs w:val="28"/>
    </w:rPr>
  </w:style>
  <w:style w:type="paragraph" w:styleId="Heading2">
    <w:name w:val="heading 2"/>
    <w:basedOn w:val="Normal"/>
    <w:next w:val="Normal"/>
    <w:link w:val="Heading2Char"/>
    <w:uiPriority w:val="9"/>
    <w:unhideWhenUsed/>
    <w:qFormat/>
    <w:rsid w:val="00FC693F"/>
    <w:pPr>
      <w:keepNext/>
      <w:keepLines/>
      <w:spacing w:before="200" w:after="0"/>
      <w:ind w:firstLine="0"/>
      <w:outlineLvl w:val="1"/>
    </w:pPr>
    <w:rPr>
      <w:rFonts w:cstheme="majorBidi" w:ascii="Arial" w:hAnsi="Arial" w:eastAsia="黑体"/>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200" w:after="0"/>
      <w:ind w:firstLine="0"/>
      <w:outlineLvl w:val="2"/>
    </w:pPr>
    <w:rPr>
      <w:rFonts w:cstheme="majorBidi" w:ascii="Arial" w:hAnsi="Arial" w:eastAsia="黑体"/>
      <w:b/>
      <w:bCs/>
      <w:color w:val="1A237E"/>
      <w:sz w:val="20"/>
    </w:rPr>
  </w:style>
  <w:style w:type="paragraph" w:styleId="Heading4">
    <w:name w:val="heading 4"/>
    <w:basedOn w:val="Normal"/>
    <w:next w:val="Normal"/>
    <w:link w:val="Heading4Char"/>
    <w:uiPriority w:val="9"/>
    <w:semiHidden/>
    <w:unhideWhenUsed/>
    <w:qFormat/>
    <w:rsid w:val="00FC693F"/>
    <w:pPr>
      <w:keepNext/>
      <w:keepLines/>
      <w:spacing w:before="200" w:after="0"/>
      <w:ind w:firstLine="0"/>
      <w:outlineLvl w:val="3"/>
    </w:pPr>
    <w:rPr>
      <w:rFonts w:cstheme="majorBidi" w:ascii="Arial" w:hAnsi="Arial" w:eastAsia="黑体"/>
      <w:b/>
      <w:bCs/>
      <w:i/>
      <w:iCs/>
      <w:color w:val="1A237E"/>
      <w:sz w:val="22"/>
    </w:rPr>
  </w:style>
  <w:style w:type="paragraph" w:styleId="Heading5">
    <w:name w:val="heading 5"/>
    <w:basedOn w:val="Normal"/>
    <w:next w:val="Normal"/>
    <w:link w:val="Heading5Char"/>
    <w:uiPriority w:val="9"/>
    <w:semiHidden/>
    <w:unhideWhenUsed/>
    <w:qFormat/>
    <w:rsid w:val="00FC693F"/>
    <w:pPr>
      <w:keepNext/>
      <w:keepLines/>
      <w:spacing w:before="200" w:after="0"/>
      <w:ind w:firstLine="0"/>
      <w:outlineLvl w:val="4"/>
    </w:pPr>
    <w:rPr>
      <w:rFonts w:cstheme="majorBidi" w:ascii="Arial" w:hAnsi="Arial" w:eastAsia="黑体"/>
      <w:b/>
      <w:color w:val="1A237E"/>
      <w:sz w:val="21"/>
    </w:rPr>
  </w:style>
  <w:style w:type="paragraph" w:styleId="Heading6">
    <w:name w:val="heading 6"/>
    <w:basedOn w:val="Normal"/>
    <w:next w:val="Normal"/>
    <w:link w:val="Heading6Char"/>
    <w:uiPriority w:val="9"/>
    <w:semiHidden/>
    <w:unhideWhenUsed/>
    <w:qFormat/>
    <w:rsid w:val="00FC693F"/>
    <w:pPr>
      <w:keepNext/>
      <w:keepLines/>
      <w:spacing w:before="200" w:after="0"/>
      <w:ind w:firstLine="0"/>
      <w:outlineLvl w:val="5"/>
    </w:pPr>
    <w:rPr>
      <w:rFonts w:cstheme="majorBidi" w:ascii="Arial" w:hAnsi="Arial" w:eastAsia="黑体"/>
      <w:b/>
      <w:i/>
      <w:iCs/>
      <w:color w:val="1A237E"/>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ind w:firstLine="0"/>
      <w:contextualSpacing/>
      <w:jc w:val="center"/>
    </w:pPr>
    <w:rPr>
      <w:rFonts w:cstheme="majorBidi" w:ascii="Arial" w:hAnsi="Arial" w:eastAsia="黑体"/>
      <w:b/>
      <w:color w:val="1F4E79"/>
      <w:spacing w:val="5"/>
      <w:kern w:val="28"/>
      <w:sz w:val="5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Arial" w:hAnsi="Arial" w:eastAsia="黑体"/>
      <w:i/>
      <w:iCs/>
      <w:color w:val="1A237E"/>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35" w:line="384" w:lineRule="auto"/>
      <w:ind w:firstLine="360"/>
    </w:pPr>
    <w:rPr>
      <w:rFonts w:ascii="Arial" w:hAnsi="Arial" w:eastAsia="宋体"/>
      <w:color w:val="252525"/>
      <w:sz w:val="18"/>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eastAsia="宋体"/>
      <w:color w:val="252525"/>
      <w:sz w:val="18"/>
    </w:rPr>
  </w:style>
  <w:style w:type="paragraph" w:styleId="ListBullet2">
    <w:name w:val="List Bullet 2"/>
    <w:basedOn w:val="Normal"/>
    <w:uiPriority w:val="99"/>
    <w:unhideWhenUsed/>
    <w:rsid w:val="00326F90"/>
    <w:pPr>
      <w:numPr>
        <w:numId w:val="2"/>
      </w:numPr>
      <w:contextualSpacing/>
    </w:pPr>
    <w:rPr>
      <w:rFonts w:ascii="Arial" w:hAnsi="Arial" w:eastAsia="宋体"/>
      <w:color w:val="252525"/>
      <w:sz w:val="18"/>
    </w:rPr>
  </w:style>
  <w:style w:type="paragraph" w:styleId="ListBullet3">
    <w:name w:val="List Bullet 3"/>
    <w:basedOn w:val="Normal"/>
    <w:uiPriority w:val="99"/>
    <w:unhideWhenUsed/>
    <w:rsid w:val="00326F90"/>
    <w:pPr>
      <w:numPr>
        <w:numId w:val="3"/>
      </w:numPr>
      <w:contextualSpacing/>
    </w:pPr>
    <w:rPr>
      <w:rFonts w:ascii="Arial" w:hAnsi="Arial" w:eastAsia="宋体"/>
      <w:color w:val="252525"/>
      <w:sz w:val="18"/>
    </w:rPr>
  </w:style>
  <w:style w:type="paragraph" w:styleId="ListNumber">
    <w:name w:val="List Number"/>
    <w:basedOn w:val="Normal"/>
    <w:uiPriority w:val="99"/>
    <w:unhideWhenUsed/>
    <w:rsid w:val="00326F90"/>
    <w:pPr>
      <w:numPr>
        <w:numId w:val="5"/>
      </w:numPr>
      <w:contextualSpacing/>
    </w:pPr>
    <w:rPr>
      <w:rFonts w:ascii="Arial" w:hAnsi="Arial" w:eastAsia="宋体"/>
      <w:color w:val="252525"/>
      <w:sz w:val="18"/>
    </w:rPr>
  </w:style>
  <w:style w:type="paragraph" w:styleId="ListNumber2">
    <w:name w:val="List Number 2"/>
    <w:basedOn w:val="Normal"/>
    <w:uiPriority w:val="99"/>
    <w:unhideWhenUsed/>
    <w:rsid w:val="0029639D"/>
    <w:pPr>
      <w:numPr>
        <w:numId w:val="6"/>
      </w:numPr>
      <w:contextualSpacing/>
    </w:pPr>
    <w:rPr>
      <w:rFonts w:ascii="Arial" w:hAnsi="Arial" w:eastAsia="宋体"/>
      <w:color w:val="252525"/>
      <w:sz w:val="18"/>
    </w:rPr>
  </w:style>
  <w:style w:type="paragraph" w:styleId="ListNumber3">
    <w:name w:val="List Number 3"/>
    <w:basedOn w:val="Normal"/>
    <w:uiPriority w:val="99"/>
    <w:unhideWhenUsed/>
    <w:rsid w:val="0029639D"/>
    <w:pPr>
      <w:numPr>
        <w:numId w:val="7"/>
      </w:numPr>
      <w:contextualSpacing/>
    </w:pPr>
    <w:rPr>
      <w:rFonts w:ascii="Arial" w:hAnsi="Arial" w:eastAsia="宋体"/>
      <w:color w:val="252525"/>
      <w:sz w:val="18"/>
    </w:r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宋体"/>
      <w:b/>
      <w:bCs/>
      <w:color w:val="616161"/>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eastAsia="宋体"/>
      <w:b/>
      <w:bCs/>
      <w:i/>
      <w:iCs/>
      <w:color w:val="252525"/>
      <w:sz w:val="18"/>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eastAsia="黑体"/>
      <w:color w:val="1A237E"/>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
    <w:name w:val="Code"/>
    <w:rPr>
      <w:rFonts w:ascii="Courier New" w:hAnsi="Courier New"/>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传统汽车实训室建设方案</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